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DF53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Contacto:</w:t>
      </w:r>
    </w:p>
    <w:p w14:paraId="6B5B7740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EMIRATES </w:t>
      </w:r>
    </w:p>
    <w:p w14:paraId="2EFAB515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Sergat </w:t>
      </w:r>
    </w:p>
    <w:p w14:paraId="6301B095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>Tel.: 93 414 02 10</w:t>
      </w:r>
    </w:p>
    <w:p w14:paraId="52E028AF" w14:textId="77777777" w:rsidR="00AB00E8" w:rsidRDefault="00B103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E-mail: </w:t>
      </w:r>
      <w:hyperlink r:id="rId8">
        <w:r>
          <w:rPr>
            <w:rFonts w:ascii="Century Gothic" w:eastAsia="Century Gothic" w:hAnsi="Century Gothic" w:cs="Century Gothic"/>
            <w:color w:val="006699"/>
            <w:sz w:val="18"/>
            <w:szCs w:val="18"/>
          </w:rPr>
          <w:t>prensa@sergat.com</w:t>
        </w:r>
      </w:hyperlink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0000FF"/>
          <w:sz w:val="18"/>
          <w:szCs w:val="18"/>
        </w:rPr>
        <w:t xml:space="preserve"> </w:t>
      </w:r>
    </w:p>
    <w:p w14:paraId="276E352F" w14:textId="3703654B" w:rsidR="00933504" w:rsidRDefault="00933504" w:rsidP="00D6416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Fonts w:ascii="Century Gothic" w:eastAsia="Century Gothic" w:hAnsi="Century Gothic" w:cs="Century Gothic"/>
          <w:b/>
          <w:color w:val="000000"/>
        </w:rPr>
      </w:pPr>
      <w:r w:rsidRPr="00933504">
        <w:rPr>
          <w:rFonts w:ascii="Century Gothic" w:eastAsia="Century Gothic" w:hAnsi="Century Gothic" w:cs="Century Gothic"/>
          <w:b/>
          <w:color w:val="000000"/>
        </w:rPr>
        <w:t>Emirates</w:t>
      </w:r>
      <w:r>
        <w:rPr>
          <w:rFonts w:ascii="Century Gothic" w:eastAsia="Century Gothic" w:hAnsi="Century Gothic" w:cs="Century Gothic"/>
          <w:b/>
          <w:color w:val="000000"/>
        </w:rPr>
        <w:t xml:space="preserve"> se</w:t>
      </w:r>
      <w:r w:rsidRPr="00933504">
        <w:rPr>
          <w:rFonts w:ascii="Century Gothic" w:eastAsia="Century Gothic" w:hAnsi="Century Gothic" w:cs="Century Gothic"/>
          <w:b/>
          <w:color w:val="000000"/>
        </w:rPr>
        <w:t xml:space="preserve"> reafirma</w:t>
      </w:r>
      <w:r>
        <w:rPr>
          <w:rFonts w:ascii="Century Gothic" w:eastAsia="Century Gothic" w:hAnsi="Century Gothic" w:cs="Century Gothic"/>
          <w:b/>
          <w:color w:val="000000"/>
        </w:rPr>
        <w:t xml:space="preserve"> en</w:t>
      </w:r>
      <w:r w:rsidRPr="00933504">
        <w:rPr>
          <w:rFonts w:ascii="Century Gothic" w:eastAsia="Century Gothic" w:hAnsi="Century Gothic" w:cs="Century Gothic"/>
          <w:b/>
          <w:color w:val="000000"/>
        </w:rPr>
        <w:t xml:space="preserve"> el </w:t>
      </w:r>
      <w:r>
        <w:rPr>
          <w:rFonts w:ascii="Century Gothic" w:eastAsia="Century Gothic" w:hAnsi="Century Gothic" w:cs="Century Gothic"/>
          <w:b/>
          <w:color w:val="000000"/>
        </w:rPr>
        <w:t>cuidado</w:t>
      </w:r>
      <w:r w:rsidRPr="00933504">
        <w:rPr>
          <w:rFonts w:ascii="Century Gothic" w:eastAsia="Century Gothic" w:hAnsi="Century Gothic" w:cs="Century Gothic"/>
          <w:b/>
          <w:color w:val="000000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</w:rPr>
        <w:t>de</w:t>
      </w:r>
      <w:r w:rsidRPr="00933504">
        <w:rPr>
          <w:rFonts w:ascii="Century Gothic" w:eastAsia="Century Gothic" w:hAnsi="Century Gothic" w:cs="Century Gothic"/>
          <w:b/>
          <w:color w:val="000000"/>
        </w:rPr>
        <w:t xml:space="preserve"> sus clientes con las últimas actualizaciones de su</w:t>
      </w:r>
      <w:r w:rsidR="00C936D7">
        <w:rPr>
          <w:rFonts w:ascii="Century Gothic" w:eastAsia="Century Gothic" w:hAnsi="Century Gothic" w:cs="Century Gothic"/>
          <w:b/>
          <w:color w:val="000000"/>
        </w:rPr>
        <w:t>s</w:t>
      </w:r>
      <w:r w:rsidRPr="00933504">
        <w:rPr>
          <w:rFonts w:ascii="Century Gothic" w:eastAsia="Century Gothic" w:hAnsi="Century Gothic" w:cs="Century Gothic"/>
          <w:b/>
          <w:color w:val="000000"/>
        </w:rPr>
        <w:t xml:space="preserve"> política</w:t>
      </w:r>
      <w:r w:rsidR="00C936D7">
        <w:rPr>
          <w:rFonts w:ascii="Century Gothic" w:eastAsia="Century Gothic" w:hAnsi="Century Gothic" w:cs="Century Gothic"/>
          <w:b/>
          <w:color w:val="000000"/>
        </w:rPr>
        <w:t>s</w:t>
      </w:r>
    </w:p>
    <w:p w14:paraId="2D8BD1F7" w14:textId="1130FBB5" w:rsidR="00933504" w:rsidRPr="00D64163" w:rsidRDefault="00933504" w:rsidP="00D64163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</w:pPr>
      <w:r w:rsidRPr="00D64163"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 xml:space="preserve">La aerolínea ofrece la validez de billetes más generosa del sector, </w:t>
      </w:r>
      <w:r w:rsidR="00C936D7"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>brindando</w:t>
      </w:r>
      <w:r w:rsidRPr="00D64163"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 xml:space="preserve"> a los clientes la posibilidad y la flexibilidad de conservar o utilizar su billete en cualquier momento durante un máximo de 36 meses</w:t>
      </w:r>
    </w:p>
    <w:p w14:paraId="6802C912" w14:textId="2B65CFC0" w:rsidR="00933504" w:rsidRPr="00D64163" w:rsidRDefault="00933504" w:rsidP="00D64163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</w:pPr>
      <w:r w:rsidRPr="00D64163"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>Amplía la cobertura gratuita del seguro de viaje multirriesgo para todos los clientes de Emirates</w:t>
      </w:r>
    </w:p>
    <w:p w14:paraId="4DE8974C" w14:textId="1A5CE72A" w:rsidR="00933504" w:rsidRPr="00D64163" w:rsidRDefault="00C936D7" w:rsidP="00D64163">
      <w:pPr>
        <w:pStyle w:val="Prrafodelista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center"/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</w:pPr>
      <w:r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>Extiende</w:t>
      </w:r>
      <w:r w:rsidR="00933504" w:rsidRPr="00D64163"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 xml:space="preserve"> la validez de las millas y del estatus</w:t>
      </w:r>
      <w:r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 xml:space="preserve"> de Emirates</w:t>
      </w:r>
      <w:r w:rsidR="00933504" w:rsidRPr="00D64163">
        <w:rPr>
          <w:rStyle w:val="nfasis"/>
          <w:rFonts w:ascii="Century Gothic" w:hAnsi="Century Gothic" w:cs="Helvetica"/>
          <w:color w:val="333333"/>
          <w:sz w:val="21"/>
          <w:szCs w:val="21"/>
          <w:lang w:val="es-ES"/>
        </w:rPr>
        <w:t xml:space="preserve"> Skywards para los viajeros frecuentes</w:t>
      </w:r>
    </w:p>
    <w:p w14:paraId="6F011DB1" w14:textId="77777777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Style w:val="nfasis"/>
          <w:rFonts w:ascii="Helvetica" w:hAnsi="Helvetica" w:cs="Helvetica"/>
          <w:color w:val="333333"/>
          <w:sz w:val="21"/>
          <w:szCs w:val="21"/>
          <w:lang w:val="es-ES"/>
        </w:rPr>
      </w:pPr>
    </w:p>
    <w:p w14:paraId="23A4FCE9" w14:textId="59D69FBC" w:rsidR="00933504" w:rsidRPr="00933504" w:rsidRDefault="003B7047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Dubái, EAU, </w:t>
      </w:r>
      <w:r w:rsidR="00933504">
        <w:rPr>
          <w:rStyle w:val="Textoennegrita"/>
          <w:rFonts w:ascii="Century Gothic" w:hAnsi="Century Gothic" w:cs="Helvetica"/>
          <w:sz w:val="22"/>
          <w:szCs w:val="22"/>
          <w:lang w:val="es-ES"/>
        </w:rPr>
        <w:t>8</w:t>
      </w:r>
      <w:r w:rsidR="00BE6BFB" w:rsidRP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58107D" w:rsidRP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>de</w:t>
      </w:r>
      <w:r w:rsid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</w:t>
      </w:r>
      <w:r w:rsidR="00D64163">
        <w:rPr>
          <w:rStyle w:val="Textoennegrita"/>
          <w:rFonts w:ascii="Century Gothic" w:hAnsi="Century Gothic" w:cs="Helvetica"/>
          <w:sz w:val="22"/>
          <w:szCs w:val="22"/>
          <w:lang w:val="es-ES"/>
        </w:rPr>
        <w:t>a</w:t>
      </w:r>
      <w:r w:rsid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>bril</w:t>
      </w:r>
      <w:r w:rsidR="00F3707C" w:rsidRP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de</w:t>
      </w:r>
      <w:r w:rsidR="00F13B18" w:rsidRP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 xml:space="preserve"> 202</w:t>
      </w:r>
      <w:r w:rsidR="00D64CEC" w:rsidRPr="006A5923">
        <w:rPr>
          <w:rStyle w:val="Textoennegrita"/>
          <w:rFonts w:ascii="Century Gothic" w:hAnsi="Century Gothic" w:cs="Helvetica"/>
          <w:sz w:val="22"/>
          <w:szCs w:val="22"/>
          <w:lang w:val="es-ES"/>
        </w:rPr>
        <w:t>1</w:t>
      </w:r>
      <w:r w:rsidR="00F13B18" w:rsidRPr="006A5923">
        <w:rPr>
          <w:rFonts w:ascii="Century Gothic" w:hAnsi="Century Gothic" w:cs="Helvetica"/>
          <w:sz w:val="22"/>
          <w:szCs w:val="22"/>
          <w:lang w:val="es-ES"/>
        </w:rPr>
        <w:t xml:space="preserve"> –</w:t>
      </w:r>
      <w:r w:rsidR="00156851" w:rsidRPr="006A5923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933504" w:rsidRPr="00933504">
        <w:rPr>
          <w:rFonts w:ascii="Century Gothic" w:hAnsi="Century Gothic" w:cs="Helvetica"/>
          <w:sz w:val="22"/>
          <w:szCs w:val="22"/>
          <w:lang w:val="es-ES"/>
        </w:rPr>
        <w:t xml:space="preserve">Emirates ha anunciado las últimas actualizaciones de sus ya generosas políticas de reserva, ofreciendo a los clientes aún más confianza y flexibilidad para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llevar a cabo</w:t>
      </w:r>
      <w:r w:rsidR="00933504" w:rsidRPr="00933504">
        <w:rPr>
          <w:rFonts w:ascii="Century Gothic" w:hAnsi="Century Gothic" w:cs="Helvetica"/>
          <w:sz w:val="22"/>
          <w:szCs w:val="22"/>
          <w:lang w:val="es-ES"/>
        </w:rPr>
        <w:t xml:space="preserve"> sus planes de viaje.</w:t>
      </w:r>
    </w:p>
    <w:p w14:paraId="60725EDD" w14:textId="4F2D730B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Los clientes que tengan billetes emitidos antes del 30 de septiembre de 2020 para viajar antes del 31 de diciembre de 2021 ahora pueden volver a reservar para viajar en cualquier momento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 xml:space="preserve">durante 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>36 meses, una extensión de 12 meses</w:t>
      </w:r>
      <w:r w:rsidR="00E31F78">
        <w:rPr>
          <w:rFonts w:ascii="Century Gothic" w:hAnsi="Century Gothic" w:cs="Helvetica"/>
          <w:sz w:val="22"/>
          <w:szCs w:val="22"/>
          <w:lang w:val="es-ES"/>
        </w:rPr>
        <w:t xml:space="preserve"> respecto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a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la política anterior.</w:t>
      </w:r>
    </w:p>
    <w:p w14:paraId="1D1EF140" w14:textId="06CBA107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>Los titulares de billetes emitidos después del 1 de octubre de 2020 para viajar antes del 31 de diciembre de 2021 pueden utilizar sus billetes en cualquier momento dentro de los 24 meses siguientes.</w:t>
      </w:r>
    </w:p>
    <w:p w14:paraId="4719E7AF" w14:textId="77777777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</w:t>
      </w:r>
    </w:p>
    <w:p w14:paraId="47DA10B2" w14:textId="0AEC5C6F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lastRenderedPageBreak/>
        <w:t xml:space="preserve">No se cobrarán los gastos de reemisión de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los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billete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s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, y los vales o las partes no utilizadas de los billetes de Emirates podrán </w:t>
      </w:r>
      <w:r>
        <w:rPr>
          <w:rFonts w:ascii="Century Gothic" w:hAnsi="Century Gothic" w:cs="Helvetica"/>
          <w:sz w:val="22"/>
          <w:szCs w:val="22"/>
          <w:lang w:val="es-ES"/>
        </w:rPr>
        <w:t>ser ree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m</w:t>
      </w:r>
      <w:r>
        <w:rPr>
          <w:rFonts w:ascii="Century Gothic" w:hAnsi="Century Gothic" w:cs="Helvetica"/>
          <w:sz w:val="22"/>
          <w:szCs w:val="22"/>
          <w:lang w:val="es-ES"/>
        </w:rPr>
        <w:t>bolsados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sin penalización.</w:t>
      </w:r>
    </w:p>
    <w:p w14:paraId="2F047D6C" w14:textId="28A2B4D2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>Los clientes que tengan billetes emitidos directamente por Emirates, ya sea a través de emirates.com o de los centros de venta y contacto de la aerolínea, no tienen que ponerse en contacto con Emirates, ya que los billetes se prorrogan automáticamente. Los clientes que hayan adquirido sus billetes a través de una agencia de viajes tendrán que ponerse en contacto con su agente antes de la fecha de caducidad para reemitir sus billetes.</w:t>
      </w:r>
    </w:p>
    <w:p w14:paraId="50861A4F" w14:textId="68B565CA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Para más información sobre la política de reservas de Emirates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, visite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: </w:t>
      </w:r>
      <w:hyperlink r:id="rId9" w:history="1">
        <w:r w:rsidRPr="00D6734E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https://www.emirates.com/ae/english/help/covid-19/ticket-options/</w:t>
        </w:r>
      </w:hyperlink>
      <w:r>
        <w:rPr>
          <w:rFonts w:ascii="Century Gothic" w:hAnsi="Century Gothic" w:cs="Helvetica"/>
          <w:sz w:val="22"/>
          <w:szCs w:val="22"/>
          <w:lang w:val="es-ES"/>
        </w:rPr>
        <w:t xml:space="preserve"> </w:t>
      </w:r>
    </w:p>
    <w:p w14:paraId="422FC1A2" w14:textId="77777777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b/>
          <w:bCs/>
          <w:sz w:val="22"/>
          <w:szCs w:val="22"/>
          <w:lang w:val="es-ES"/>
        </w:rPr>
        <w:t>Seguro de viaje multirriesgo</w:t>
      </w:r>
    </w:p>
    <w:p w14:paraId="3A8DC2A3" w14:textId="7C772036" w:rsid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Emirates fue la primera aerolínea en ofrecer una cobertura global de seguro de viaje multirriesgo para todos los pasajeros, y ahora la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compañía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amplía este servicio más allá del 31 de marzo de 2021 hasta nuevo aviso, ofreciendo un valor añadido y tranquilidad a sus clientes.</w:t>
      </w:r>
    </w:p>
    <w:p w14:paraId="37CE86DF" w14:textId="60EBE31F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Para más información: </w:t>
      </w:r>
      <w:hyperlink r:id="rId10" w:history="1">
        <w:r w:rsidRPr="00D6734E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https://www.emirates.com/ae/english/before-you-fly/multi-risk-travel-insurance/</w:t>
        </w:r>
      </w:hyperlink>
      <w:r>
        <w:rPr>
          <w:rFonts w:ascii="Century Gothic" w:hAnsi="Century Gothic" w:cs="Helvetica"/>
          <w:sz w:val="22"/>
          <w:szCs w:val="22"/>
          <w:lang w:val="es-ES"/>
        </w:rPr>
        <w:t xml:space="preserve"> </w:t>
      </w:r>
    </w:p>
    <w:p w14:paraId="0918EB10" w14:textId="77777777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b/>
          <w:bCs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b/>
          <w:bCs/>
          <w:sz w:val="22"/>
          <w:szCs w:val="22"/>
          <w:lang w:val="es-ES"/>
        </w:rPr>
        <w:t>Ampliación del nivel de Emirates Skywards y de las millas</w:t>
      </w:r>
    </w:p>
    <w:p w14:paraId="0BC1276A" w14:textId="4BAC1183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Para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 xml:space="preserve">los 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>viajeros frecuentes, Emirates Skywards amplía la categoría de sus miembros Silver, Gold y Platinum hasta 2022.</w:t>
      </w:r>
    </w:p>
    <w:p w14:paraId="68E50ED4" w14:textId="6D0B5084" w:rsid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La validez de todas las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m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illas Skywards que expiran desde abril de 2020 se ha ampliado hasta el 31 de agosto de 2021, proporcionando a los miembros de Skywards más oportunidades de utilizarlas </w:t>
      </w:r>
      <w:r>
        <w:rPr>
          <w:rFonts w:ascii="Century Gothic" w:hAnsi="Century Gothic" w:cs="Helvetica"/>
          <w:sz w:val="22"/>
          <w:szCs w:val="22"/>
          <w:lang w:val="es-ES"/>
        </w:rPr>
        <w:t>en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 una amplia gama de recompensas de vuelos y </w:t>
      </w:r>
      <w:r w:rsidR="00FA46B3">
        <w:rPr>
          <w:rFonts w:ascii="Century Gothic" w:hAnsi="Century Gothic" w:cs="Helvetica"/>
          <w:sz w:val="22"/>
          <w:szCs w:val="22"/>
          <w:lang w:val="es-ES"/>
        </w:rPr>
        <w:t>experiencias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>, así como otros privilegios.</w:t>
      </w:r>
    </w:p>
    <w:p w14:paraId="4B87A4D2" w14:textId="6FD56733" w:rsid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lastRenderedPageBreak/>
        <w:t xml:space="preserve">Para más información: </w:t>
      </w:r>
      <w:hyperlink r:id="rId11" w:history="1">
        <w:r w:rsidRPr="00D6734E">
          <w:rPr>
            <w:rStyle w:val="Hipervnculo"/>
            <w:rFonts w:ascii="Century Gothic" w:hAnsi="Century Gothic" w:cs="Helvetica"/>
            <w:sz w:val="22"/>
            <w:szCs w:val="22"/>
            <w:lang w:val="es-ES"/>
          </w:rPr>
          <w:t>https://www.emirates.com/il/english/skywards/retain-your-emirates-skywards-status/</w:t>
        </w:r>
      </w:hyperlink>
    </w:p>
    <w:p w14:paraId="21B0148E" w14:textId="4914070F" w:rsidR="00933504" w:rsidRPr="00933504" w:rsidRDefault="00933504" w:rsidP="00933504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entury Gothic" w:hAnsi="Century Gothic" w:cs="Helvetica"/>
          <w:sz w:val="22"/>
          <w:szCs w:val="22"/>
          <w:lang w:val="es-ES"/>
        </w:rPr>
      </w:pP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Además, Emirates Skywards ofrece a sus socios la posibilidad de ganar el doble de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m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 xml:space="preserve">illas de </w:t>
      </w:r>
      <w:r w:rsidR="00E31F78">
        <w:rPr>
          <w:rFonts w:ascii="Century Gothic" w:hAnsi="Century Gothic" w:cs="Helvetica"/>
          <w:sz w:val="22"/>
          <w:szCs w:val="22"/>
          <w:lang w:val="es-ES"/>
        </w:rPr>
        <w:t>c</w:t>
      </w:r>
      <w:r w:rsidRPr="00933504">
        <w:rPr>
          <w:rFonts w:ascii="Century Gothic" w:hAnsi="Century Gothic" w:cs="Helvetica"/>
          <w:sz w:val="22"/>
          <w:szCs w:val="22"/>
          <w:lang w:val="es-ES"/>
        </w:rPr>
        <w:t>ategoría en todos los vuelos de Emirates y flydubai reservados desde el 1 de abril hasta el 30 de junio para viajar hasta el 30 de diciembre de 2021.</w:t>
      </w:r>
    </w:p>
    <w:p w14:paraId="30CF27E5" w14:textId="0DE07D25" w:rsidR="00AB00E8" w:rsidRPr="008227EF" w:rsidRDefault="00AB00E8" w:rsidP="00781D0B">
      <w:pPr>
        <w:spacing w:before="180" w:after="180"/>
        <w:jc w:val="both"/>
        <w:rPr>
          <w:lang w:val="es-AR" w:eastAsia="es-AR"/>
        </w:rPr>
      </w:pPr>
    </w:p>
    <w:sectPr w:rsidR="00AB00E8" w:rsidRPr="008227EF" w:rsidSect="00D154EF">
      <w:headerReference w:type="default" r:id="rId12"/>
      <w:pgSz w:w="11900" w:h="16840"/>
      <w:pgMar w:top="1417" w:right="1268" w:bottom="7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D5FC57" w14:textId="77777777" w:rsidR="00E8505D" w:rsidRDefault="00E8505D">
      <w:r>
        <w:separator/>
      </w:r>
    </w:p>
  </w:endnote>
  <w:endnote w:type="continuationSeparator" w:id="0">
    <w:p w14:paraId="0AD98189" w14:textId="77777777" w:rsidR="00E8505D" w:rsidRDefault="00E8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2595C" w14:textId="77777777" w:rsidR="00E8505D" w:rsidRDefault="00E8505D">
      <w:r>
        <w:separator/>
      </w:r>
    </w:p>
  </w:footnote>
  <w:footnote w:type="continuationSeparator" w:id="0">
    <w:p w14:paraId="0B307FF8" w14:textId="77777777" w:rsidR="00E8505D" w:rsidRDefault="00E85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0607A" w14:textId="77777777" w:rsidR="00437D79" w:rsidRDefault="00437D79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C52055E" wp14:editId="71A4DA7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3275" cy="143065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3275" cy="1430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51EED4" w14:textId="77777777" w:rsidR="00437D79" w:rsidRDefault="00437D79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194411EF" w14:textId="77777777" w:rsidR="00437D79" w:rsidRDefault="00437D79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6370CC46" w14:textId="77777777" w:rsidR="00437D79" w:rsidRDefault="00437D79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79597A16" w14:textId="77777777" w:rsidR="00437D79" w:rsidRDefault="00437D79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  <w:p w14:paraId="78AD83F7" w14:textId="77777777" w:rsidR="00437D79" w:rsidRDefault="00437D79">
    <w:pPr>
      <w:pBdr>
        <w:top w:val="nil"/>
        <w:left w:val="nil"/>
        <w:bottom w:val="nil"/>
        <w:right w:val="nil"/>
        <w:between w:val="nil"/>
      </w:pBdr>
      <w:tabs>
        <w:tab w:val="right" w:pos="8478"/>
      </w:tabs>
      <w:spacing w:after="200"/>
      <w:rPr>
        <w:rFonts w:ascii="Cambria" w:eastAsia="Cambria" w:hAnsi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31568"/>
    <w:multiLevelType w:val="hybridMultilevel"/>
    <w:tmpl w:val="D42C5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3B13"/>
    <w:multiLevelType w:val="hybridMultilevel"/>
    <w:tmpl w:val="07409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2951"/>
    <w:multiLevelType w:val="hybridMultilevel"/>
    <w:tmpl w:val="E1DC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A45"/>
    <w:multiLevelType w:val="hybridMultilevel"/>
    <w:tmpl w:val="CA0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5355C"/>
    <w:multiLevelType w:val="hybridMultilevel"/>
    <w:tmpl w:val="EE50124E"/>
    <w:lvl w:ilvl="0" w:tplc="E6DAB66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0934"/>
    <w:multiLevelType w:val="hybridMultilevel"/>
    <w:tmpl w:val="A332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F6860"/>
    <w:multiLevelType w:val="multilevel"/>
    <w:tmpl w:val="E0A0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E93F48"/>
    <w:multiLevelType w:val="hybridMultilevel"/>
    <w:tmpl w:val="C2908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1122"/>
    <w:multiLevelType w:val="hybridMultilevel"/>
    <w:tmpl w:val="77B492C8"/>
    <w:lvl w:ilvl="0" w:tplc="7BE2054C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97F1A"/>
    <w:multiLevelType w:val="hybridMultilevel"/>
    <w:tmpl w:val="F5E4F2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EB41B2E"/>
    <w:multiLevelType w:val="hybridMultilevel"/>
    <w:tmpl w:val="58E021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4627B"/>
    <w:multiLevelType w:val="hybridMultilevel"/>
    <w:tmpl w:val="BDBE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55812"/>
    <w:multiLevelType w:val="hybridMultilevel"/>
    <w:tmpl w:val="74A6A648"/>
    <w:lvl w:ilvl="0" w:tplc="842AA662"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4533AF4"/>
    <w:multiLevelType w:val="hybridMultilevel"/>
    <w:tmpl w:val="D11CA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37D5A"/>
    <w:multiLevelType w:val="hybridMultilevel"/>
    <w:tmpl w:val="6E985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01777"/>
    <w:multiLevelType w:val="hybridMultilevel"/>
    <w:tmpl w:val="BDD40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33717"/>
    <w:multiLevelType w:val="multilevel"/>
    <w:tmpl w:val="3FA64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95461ED"/>
    <w:multiLevelType w:val="hybridMultilevel"/>
    <w:tmpl w:val="3E6C248C"/>
    <w:lvl w:ilvl="0" w:tplc="040A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7A572A80"/>
    <w:multiLevelType w:val="hybridMultilevel"/>
    <w:tmpl w:val="67C8C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C0CD0"/>
    <w:multiLevelType w:val="hybridMultilevel"/>
    <w:tmpl w:val="6D280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E3D02"/>
    <w:multiLevelType w:val="hybridMultilevel"/>
    <w:tmpl w:val="60202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45BDE"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14"/>
  </w:num>
  <w:num w:numId="7">
    <w:abstractNumId w:val="5"/>
  </w:num>
  <w:num w:numId="8">
    <w:abstractNumId w:val="19"/>
  </w:num>
  <w:num w:numId="9">
    <w:abstractNumId w:val="12"/>
  </w:num>
  <w:num w:numId="10">
    <w:abstractNumId w:val="0"/>
  </w:num>
  <w:num w:numId="11">
    <w:abstractNumId w:val="7"/>
  </w:num>
  <w:num w:numId="12">
    <w:abstractNumId w:val="18"/>
  </w:num>
  <w:num w:numId="13">
    <w:abstractNumId w:val="3"/>
  </w:num>
  <w:num w:numId="14">
    <w:abstractNumId w:val="13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  <w:num w:numId="19">
    <w:abstractNumId w:val="20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E8"/>
    <w:rsid w:val="0000502E"/>
    <w:rsid w:val="00022E2F"/>
    <w:rsid w:val="00040619"/>
    <w:rsid w:val="0005154A"/>
    <w:rsid w:val="000526AD"/>
    <w:rsid w:val="000549E0"/>
    <w:rsid w:val="000820BE"/>
    <w:rsid w:val="00084F06"/>
    <w:rsid w:val="000C001D"/>
    <w:rsid w:val="000C416A"/>
    <w:rsid w:val="000C7474"/>
    <w:rsid w:val="000D3FCD"/>
    <w:rsid w:val="000D5E02"/>
    <w:rsid w:val="000D6B07"/>
    <w:rsid w:val="000D7D83"/>
    <w:rsid w:val="000E1C01"/>
    <w:rsid w:val="000F3320"/>
    <w:rsid w:val="001171CE"/>
    <w:rsid w:val="00125613"/>
    <w:rsid w:val="001438D1"/>
    <w:rsid w:val="00155AF3"/>
    <w:rsid w:val="00156851"/>
    <w:rsid w:val="0015796E"/>
    <w:rsid w:val="0018295B"/>
    <w:rsid w:val="001A2E48"/>
    <w:rsid w:val="001F5943"/>
    <w:rsid w:val="001F6558"/>
    <w:rsid w:val="0020696C"/>
    <w:rsid w:val="00210E19"/>
    <w:rsid w:val="00216402"/>
    <w:rsid w:val="00222340"/>
    <w:rsid w:val="00230AC3"/>
    <w:rsid w:val="002310D5"/>
    <w:rsid w:val="00232973"/>
    <w:rsid w:val="00245731"/>
    <w:rsid w:val="00252883"/>
    <w:rsid w:val="00254A44"/>
    <w:rsid w:val="00256D35"/>
    <w:rsid w:val="00260BB1"/>
    <w:rsid w:val="00263B40"/>
    <w:rsid w:val="0027266F"/>
    <w:rsid w:val="002835AB"/>
    <w:rsid w:val="00284D22"/>
    <w:rsid w:val="00294828"/>
    <w:rsid w:val="002A2FA7"/>
    <w:rsid w:val="002F11A3"/>
    <w:rsid w:val="00303782"/>
    <w:rsid w:val="00314757"/>
    <w:rsid w:val="0031552A"/>
    <w:rsid w:val="003308E5"/>
    <w:rsid w:val="0033101B"/>
    <w:rsid w:val="00353F1E"/>
    <w:rsid w:val="0035696E"/>
    <w:rsid w:val="003709A2"/>
    <w:rsid w:val="00373710"/>
    <w:rsid w:val="00377787"/>
    <w:rsid w:val="003820FF"/>
    <w:rsid w:val="00382677"/>
    <w:rsid w:val="00396F04"/>
    <w:rsid w:val="003B3CA5"/>
    <w:rsid w:val="003B7047"/>
    <w:rsid w:val="003E4645"/>
    <w:rsid w:val="003F1348"/>
    <w:rsid w:val="00402A79"/>
    <w:rsid w:val="00414969"/>
    <w:rsid w:val="00415A1C"/>
    <w:rsid w:val="00437023"/>
    <w:rsid w:val="00437D79"/>
    <w:rsid w:val="00456D76"/>
    <w:rsid w:val="00490424"/>
    <w:rsid w:val="004920D6"/>
    <w:rsid w:val="00496EE2"/>
    <w:rsid w:val="004D1072"/>
    <w:rsid w:val="004D1441"/>
    <w:rsid w:val="004D372A"/>
    <w:rsid w:val="004E0A36"/>
    <w:rsid w:val="004E2A62"/>
    <w:rsid w:val="00501C94"/>
    <w:rsid w:val="00511A14"/>
    <w:rsid w:val="00511DAA"/>
    <w:rsid w:val="0051237D"/>
    <w:rsid w:val="00516B7F"/>
    <w:rsid w:val="00541B8C"/>
    <w:rsid w:val="00543C11"/>
    <w:rsid w:val="00544947"/>
    <w:rsid w:val="00550DE2"/>
    <w:rsid w:val="00552030"/>
    <w:rsid w:val="005602B2"/>
    <w:rsid w:val="00573AB8"/>
    <w:rsid w:val="0058107D"/>
    <w:rsid w:val="0058272A"/>
    <w:rsid w:val="005857DE"/>
    <w:rsid w:val="00593FFC"/>
    <w:rsid w:val="005948B7"/>
    <w:rsid w:val="00596592"/>
    <w:rsid w:val="005A19EF"/>
    <w:rsid w:val="005C3EC4"/>
    <w:rsid w:val="005D63AE"/>
    <w:rsid w:val="005D75B4"/>
    <w:rsid w:val="005E23A6"/>
    <w:rsid w:val="005E46E6"/>
    <w:rsid w:val="005E72CD"/>
    <w:rsid w:val="005F0118"/>
    <w:rsid w:val="0060787A"/>
    <w:rsid w:val="006279F1"/>
    <w:rsid w:val="006314D7"/>
    <w:rsid w:val="006318A5"/>
    <w:rsid w:val="00632650"/>
    <w:rsid w:val="00663E69"/>
    <w:rsid w:val="006665F3"/>
    <w:rsid w:val="006929B5"/>
    <w:rsid w:val="006978FC"/>
    <w:rsid w:val="00697D10"/>
    <w:rsid w:val="006A5923"/>
    <w:rsid w:val="006C454A"/>
    <w:rsid w:val="006D6F30"/>
    <w:rsid w:val="006F32DA"/>
    <w:rsid w:val="0072655E"/>
    <w:rsid w:val="00730F64"/>
    <w:rsid w:val="007340BC"/>
    <w:rsid w:val="0073689D"/>
    <w:rsid w:val="00737D30"/>
    <w:rsid w:val="0074368B"/>
    <w:rsid w:val="00772FB9"/>
    <w:rsid w:val="00774A7F"/>
    <w:rsid w:val="00775D88"/>
    <w:rsid w:val="00777F54"/>
    <w:rsid w:val="00781D0B"/>
    <w:rsid w:val="00785AA2"/>
    <w:rsid w:val="007A7BDB"/>
    <w:rsid w:val="007B066B"/>
    <w:rsid w:val="007B0DEB"/>
    <w:rsid w:val="007B7D81"/>
    <w:rsid w:val="007C676B"/>
    <w:rsid w:val="007D3459"/>
    <w:rsid w:val="007E4350"/>
    <w:rsid w:val="007E5B82"/>
    <w:rsid w:val="007E643B"/>
    <w:rsid w:val="007F0CD6"/>
    <w:rsid w:val="008227EF"/>
    <w:rsid w:val="008230C4"/>
    <w:rsid w:val="00823C75"/>
    <w:rsid w:val="008319BB"/>
    <w:rsid w:val="00833812"/>
    <w:rsid w:val="00872D54"/>
    <w:rsid w:val="008836D5"/>
    <w:rsid w:val="00892105"/>
    <w:rsid w:val="008A15FE"/>
    <w:rsid w:val="008A3AA2"/>
    <w:rsid w:val="008B1CCE"/>
    <w:rsid w:val="008B5CC7"/>
    <w:rsid w:val="008D1368"/>
    <w:rsid w:val="008D2A46"/>
    <w:rsid w:val="008D4512"/>
    <w:rsid w:val="0090330F"/>
    <w:rsid w:val="00914166"/>
    <w:rsid w:val="00920C87"/>
    <w:rsid w:val="00933504"/>
    <w:rsid w:val="00933DD6"/>
    <w:rsid w:val="00943CCF"/>
    <w:rsid w:val="0096303F"/>
    <w:rsid w:val="0097100D"/>
    <w:rsid w:val="00973AA0"/>
    <w:rsid w:val="00976272"/>
    <w:rsid w:val="0097640A"/>
    <w:rsid w:val="009A1F3F"/>
    <w:rsid w:val="009A3FF4"/>
    <w:rsid w:val="009B0408"/>
    <w:rsid w:val="009B518D"/>
    <w:rsid w:val="009C5CDA"/>
    <w:rsid w:val="009C7132"/>
    <w:rsid w:val="009D10E2"/>
    <w:rsid w:val="009E05EC"/>
    <w:rsid w:val="009F2107"/>
    <w:rsid w:val="00A01815"/>
    <w:rsid w:val="00A03322"/>
    <w:rsid w:val="00A11FFC"/>
    <w:rsid w:val="00A13473"/>
    <w:rsid w:val="00A13B85"/>
    <w:rsid w:val="00A14CB6"/>
    <w:rsid w:val="00A1643D"/>
    <w:rsid w:val="00A228E1"/>
    <w:rsid w:val="00A242F0"/>
    <w:rsid w:val="00A346E3"/>
    <w:rsid w:val="00A35FC7"/>
    <w:rsid w:val="00A44481"/>
    <w:rsid w:val="00A518C5"/>
    <w:rsid w:val="00A60EC3"/>
    <w:rsid w:val="00A629FD"/>
    <w:rsid w:val="00A62F75"/>
    <w:rsid w:val="00A63E00"/>
    <w:rsid w:val="00A64F47"/>
    <w:rsid w:val="00A95B57"/>
    <w:rsid w:val="00AA4A4C"/>
    <w:rsid w:val="00AA5282"/>
    <w:rsid w:val="00AA7C3A"/>
    <w:rsid w:val="00AB00E8"/>
    <w:rsid w:val="00AB7AD0"/>
    <w:rsid w:val="00AC011A"/>
    <w:rsid w:val="00AD1389"/>
    <w:rsid w:val="00AD1D61"/>
    <w:rsid w:val="00AF46F6"/>
    <w:rsid w:val="00B03F4A"/>
    <w:rsid w:val="00B06DAB"/>
    <w:rsid w:val="00B06EF4"/>
    <w:rsid w:val="00B10366"/>
    <w:rsid w:val="00B346F9"/>
    <w:rsid w:val="00B36D75"/>
    <w:rsid w:val="00B460A4"/>
    <w:rsid w:val="00B558B9"/>
    <w:rsid w:val="00B70C2A"/>
    <w:rsid w:val="00B70C7E"/>
    <w:rsid w:val="00B857E0"/>
    <w:rsid w:val="00B92A83"/>
    <w:rsid w:val="00BB03CC"/>
    <w:rsid w:val="00BB1598"/>
    <w:rsid w:val="00BB7B1C"/>
    <w:rsid w:val="00BE0233"/>
    <w:rsid w:val="00BE2B4B"/>
    <w:rsid w:val="00BE6BFB"/>
    <w:rsid w:val="00BF6168"/>
    <w:rsid w:val="00BF7728"/>
    <w:rsid w:val="00C03DBF"/>
    <w:rsid w:val="00C06040"/>
    <w:rsid w:val="00C17497"/>
    <w:rsid w:val="00C26A54"/>
    <w:rsid w:val="00C446D6"/>
    <w:rsid w:val="00C51574"/>
    <w:rsid w:val="00C711E5"/>
    <w:rsid w:val="00C91CF6"/>
    <w:rsid w:val="00C936D7"/>
    <w:rsid w:val="00CB202C"/>
    <w:rsid w:val="00CD006E"/>
    <w:rsid w:val="00CD6030"/>
    <w:rsid w:val="00CF21CD"/>
    <w:rsid w:val="00D154EF"/>
    <w:rsid w:val="00D15759"/>
    <w:rsid w:val="00D24B44"/>
    <w:rsid w:val="00D25DB8"/>
    <w:rsid w:val="00D42831"/>
    <w:rsid w:val="00D44EEE"/>
    <w:rsid w:val="00D5638B"/>
    <w:rsid w:val="00D64163"/>
    <w:rsid w:val="00D64CEC"/>
    <w:rsid w:val="00D71DA6"/>
    <w:rsid w:val="00D76CC7"/>
    <w:rsid w:val="00D81938"/>
    <w:rsid w:val="00D90ED1"/>
    <w:rsid w:val="00D92C2D"/>
    <w:rsid w:val="00DA6B59"/>
    <w:rsid w:val="00DB1B40"/>
    <w:rsid w:val="00DB4C11"/>
    <w:rsid w:val="00DB58B7"/>
    <w:rsid w:val="00DF552E"/>
    <w:rsid w:val="00DF593B"/>
    <w:rsid w:val="00E021FD"/>
    <w:rsid w:val="00E050D0"/>
    <w:rsid w:val="00E17CC6"/>
    <w:rsid w:val="00E20810"/>
    <w:rsid w:val="00E26864"/>
    <w:rsid w:val="00E31F78"/>
    <w:rsid w:val="00E46838"/>
    <w:rsid w:val="00E523EF"/>
    <w:rsid w:val="00E653A0"/>
    <w:rsid w:val="00E66273"/>
    <w:rsid w:val="00E8398F"/>
    <w:rsid w:val="00E8505D"/>
    <w:rsid w:val="00E8731B"/>
    <w:rsid w:val="00E91E8F"/>
    <w:rsid w:val="00EA5B03"/>
    <w:rsid w:val="00EB0A90"/>
    <w:rsid w:val="00EB1B21"/>
    <w:rsid w:val="00EB7C63"/>
    <w:rsid w:val="00ED33AA"/>
    <w:rsid w:val="00ED6E7B"/>
    <w:rsid w:val="00EE74D0"/>
    <w:rsid w:val="00F06203"/>
    <w:rsid w:val="00F11CE4"/>
    <w:rsid w:val="00F13B18"/>
    <w:rsid w:val="00F3707C"/>
    <w:rsid w:val="00F40D8E"/>
    <w:rsid w:val="00F4144B"/>
    <w:rsid w:val="00F415FA"/>
    <w:rsid w:val="00F41BD9"/>
    <w:rsid w:val="00F44CA1"/>
    <w:rsid w:val="00F4595D"/>
    <w:rsid w:val="00F547C7"/>
    <w:rsid w:val="00F562FA"/>
    <w:rsid w:val="00F96465"/>
    <w:rsid w:val="00FA46B3"/>
    <w:rsid w:val="00FC0710"/>
    <w:rsid w:val="00FC2CD2"/>
    <w:rsid w:val="00FC577D"/>
    <w:rsid w:val="00FD71D8"/>
    <w:rsid w:val="00F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B60"/>
  <w15:docId w15:val="{88EBD484-DC7F-B244-9157-8D47A0AB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F4C1C"/>
  </w:style>
  <w:style w:type="paragraph" w:styleId="Piedepgina">
    <w:name w:val="footer"/>
    <w:basedOn w:val="Normal"/>
    <w:link w:val="PiedepginaCar"/>
    <w:uiPriority w:val="99"/>
    <w:unhideWhenUsed/>
    <w:rsid w:val="009F4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C1C"/>
  </w:style>
  <w:style w:type="paragraph" w:styleId="Prrafodelista">
    <w:name w:val="List Paragraph"/>
    <w:basedOn w:val="Normal"/>
    <w:uiPriority w:val="34"/>
    <w:qFormat/>
    <w:rsid w:val="004206F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1FE3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C1FE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25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3AA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Textoennegrita">
    <w:name w:val="Strong"/>
    <w:basedOn w:val="Fuentedeprrafopredeter"/>
    <w:uiPriority w:val="22"/>
    <w:qFormat/>
    <w:rsid w:val="00973AA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2A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A46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D428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9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@serga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irates.com/il/english/skywards/retain-your-emirates-skywards-statu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mirates.com/ae/english/before-you-fly/multi-risk-travel-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irates.com/ae/english/help/covid-19/ticket-option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FnAnfyvYq8bruNzzo/HEODjvaA==">AMUW2mWjjC22SeouE6+XE4To+NCgNNLq3JLZxGluVFJGRjzOn2zIm0nI77SH/tG1m8aRySFulD/WDJPiSHHJ/GhBj/264cKYVfDMFWoyzMglrNlf87j6t8BG9Y3x2Rwt1/1A2QSZ0N+wfwzgYrWYQQgGS4KmbViLwTaKQ0cL2m2T4LZto4eOquc=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SERGAT</dc:creator>
  <cp:lastModifiedBy> </cp:lastModifiedBy>
  <cp:revision>5</cp:revision>
  <dcterms:created xsi:type="dcterms:W3CDTF">2021-04-08T12:18:00Z</dcterms:created>
  <dcterms:modified xsi:type="dcterms:W3CDTF">2021-04-08T14:55:00Z</dcterms:modified>
</cp:coreProperties>
</file>