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DF53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Contacto:</w:t>
      </w:r>
    </w:p>
    <w:p w14:paraId="6B5B7740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EMIRATES </w:t>
      </w:r>
    </w:p>
    <w:p w14:paraId="2EFAB515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Sergat </w:t>
      </w:r>
    </w:p>
    <w:p w14:paraId="6301B095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Tel.: 93 414 02 10</w:t>
      </w:r>
    </w:p>
    <w:p w14:paraId="52E028AF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E-mail: </w:t>
      </w:r>
      <w:hyperlink r:id="rId8">
        <w:r>
          <w:rPr>
            <w:rFonts w:ascii="Century Gothic" w:eastAsia="Century Gothic" w:hAnsi="Century Gothic" w:cs="Century Gothic"/>
            <w:color w:val="006699"/>
            <w:sz w:val="18"/>
            <w:szCs w:val="18"/>
          </w:rPr>
          <w:t>prensa@sergat.com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FF"/>
          <w:sz w:val="18"/>
          <w:szCs w:val="18"/>
        </w:rPr>
        <w:t xml:space="preserve"> </w:t>
      </w:r>
    </w:p>
    <w:p w14:paraId="652CABA6" w14:textId="06783955" w:rsidR="00722971" w:rsidRDefault="002F02D6" w:rsidP="002F02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bCs/>
          <w:color w:val="000000"/>
          <w:sz w:val="20"/>
          <w:szCs w:val="20"/>
        </w:rPr>
      </w:pPr>
      <w:r w:rsidRPr="002F02D6">
        <w:rPr>
          <w:rFonts w:ascii="Century Gothic" w:eastAsia="Century Gothic" w:hAnsi="Century Gothic" w:cs="Century Gothic"/>
          <w:b/>
          <w:color w:val="000000"/>
        </w:rPr>
        <w:t>Emirates Skywards lanza "Skywards+" para ofrecer a sus socios de todo el mundo acceso a recompensas exclusivas</w:t>
      </w:r>
    </w:p>
    <w:p w14:paraId="56978621" w14:textId="3C8945B8" w:rsidR="00722971" w:rsidRDefault="002F02D6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</w:pPr>
      <w:r w:rsidRPr="00B2203C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 xml:space="preserve">El programa de fidelización ha puesto en marcha una plataforma global de suscripción </w:t>
      </w:r>
      <w:r w:rsidR="00B2203C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>online</w:t>
      </w:r>
      <w:r w:rsidRPr="00B2203C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 xml:space="preserve"> para </w:t>
      </w:r>
      <w:r w:rsidR="0021297E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>brindar</w:t>
      </w:r>
      <w:r w:rsidRPr="00B2203C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 xml:space="preserve"> a los miembros un acceso</w:t>
      </w:r>
      <w:r w:rsidR="00B2203C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 xml:space="preserve"> fácil</w:t>
      </w:r>
      <w:r w:rsidRPr="00B2203C"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  <w:t xml:space="preserve"> a privilegios adicionales durante todo el año</w:t>
      </w:r>
    </w:p>
    <w:p w14:paraId="7FBB2EC1" w14:textId="77777777" w:rsidR="00B2203C" w:rsidRPr="00B2203C" w:rsidRDefault="00B2203C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bCs/>
          <w:i/>
          <w:iCs/>
          <w:color w:val="000000"/>
          <w:sz w:val="20"/>
          <w:szCs w:val="20"/>
        </w:rPr>
      </w:pPr>
    </w:p>
    <w:p w14:paraId="11381DD4" w14:textId="4473DA10" w:rsidR="002F02D6" w:rsidRPr="002F02D6" w:rsidRDefault="003B7047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B636E5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Dubái, EAU, </w:t>
      </w:r>
      <w:r w:rsidR="002F02D6">
        <w:rPr>
          <w:rStyle w:val="Textoennegrita"/>
          <w:rFonts w:ascii="Century Gothic" w:hAnsi="Century Gothic" w:cs="Helvetica"/>
          <w:sz w:val="22"/>
          <w:szCs w:val="22"/>
          <w:lang w:val="es-ES"/>
        </w:rPr>
        <w:t>11</w:t>
      </w:r>
      <w:r w:rsidR="00BE6BFB" w:rsidRPr="00B636E5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</w:t>
      </w:r>
      <w:r w:rsidR="0058107D" w:rsidRPr="00B636E5">
        <w:rPr>
          <w:rStyle w:val="Textoennegrita"/>
          <w:rFonts w:ascii="Century Gothic" w:hAnsi="Century Gothic" w:cs="Helvetica"/>
          <w:sz w:val="22"/>
          <w:szCs w:val="22"/>
          <w:lang w:val="es-ES"/>
        </w:rPr>
        <w:t>de</w:t>
      </w:r>
      <w:r w:rsidR="0015796E" w:rsidRPr="00B636E5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</w:t>
      </w:r>
      <w:r w:rsidR="00B2203C">
        <w:rPr>
          <w:rStyle w:val="Textoennegrita"/>
          <w:rFonts w:ascii="Century Gothic" w:hAnsi="Century Gothic" w:cs="Helvetica"/>
          <w:sz w:val="22"/>
          <w:szCs w:val="22"/>
          <w:lang w:val="es-ES"/>
        </w:rPr>
        <w:t>a</w:t>
      </w:r>
      <w:r w:rsidR="0031590A">
        <w:rPr>
          <w:rStyle w:val="Textoennegrita"/>
          <w:rFonts w:ascii="Century Gothic" w:hAnsi="Century Gothic" w:cs="Helvetica"/>
          <w:sz w:val="22"/>
          <w:szCs w:val="22"/>
          <w:lang w:val="es-ES"/>
        </w:rPr>
        <w:t>gosto</w:t>
      </w:r>
      <w:r w:rsidR="00F3707C" w:rsidRPr="00B636E5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de</w:t>
      </w:r>
      <w:r w:rsidR="00F13B18" w:rsidRPr="00B636E5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202</w:t>
      </w:r>
      <w:r w:rsidR="00D64CEC" w:rsidRPr="00B636E5">
        <w:rPr>
          <w:rStyle w:val="Textoennegrita"/>
          <w:rFonts w:ascii="Century Gothic" w:hAnsi="Century Gothic" w:cs="Helvetica"/>
          <w:sz w:val="22"/>
          <w:szCs w:val="22"/>
          <w:lang w:val="es-ES"/>
        </w:rPr>
        <w:t>1</w:t>
      </w:r>
      <w:r w:rsidR="00F13B18" w:rsidRPr="00B636E5">
        <w:rPr>
          <w:rFonts w:ascii="Century Gothic" w:hAnsi="Century Gothic" w:cs="Helvetica"/>
          <w:sz w:val="22"/>
          <w:szCs w:val="22"/>
          <w:lang w:val="es-ES"/>
        </w:rPr>
        <w:t xml:space="preserve"> –</w:t>
      </w:r>
      <w:r w:rsidR="00156851" w:rsidRPr="00B636E5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2F02D6" w:rsidRPr="002F02D6">
        <w:rPr>
          <w:rFonts w:ascii="Century Gothic" w:hAnsi="Century Gothic" w:cs="Helvetica"/>
          <w:sz w:val="22"/>
          <w:szCs w:val="22"/>
          <w:lang w:val="es-ES"/>
        </w:rPr>
        <w:t>Emirates Skywards, el galardonado programa de fidelización de Emirates y flydubai, ha lanzado una plataforma de suscripción online</w:t>
      </w:r>
      <w:r w:rsidR="004D51B1">
        <w:rPr>
          <w:rFonts w:ascii="Century Gothic" w:hAnsi="Century Gothic" w:cs="Helvetica"/>
          <w:sz w:val="22"/>
          <w:szCs w:val="22"/>
          <w:lang w:val="es-ES"/>
        </w:rPr>
        <w:t>,</w:t>
      </w:r>
      <w:r w:rsidR="002F02D6" w:rsidRPr="002F02D6">
        <w:rPr>
          <w:rFonts w:ascii="Century Gothic" w:hAnsi="Century Gothic" w:cs="Helvetica"/>
          <w:sz w:val="22"/>
          <w:szCs w:val="22"/>
          <w:lang w:val="es-ES"/>
        </w:rPr>
        <w:t xml:space="preserve"> "Skywards+"</w:t>
      </w:r>
      <w:r w:rsidR="004D51B1">
        <w:rPr>
          <w:rFonts w:ascii="Century Gothic" w:hAnsi="Century Gothic" w:cs="Helvetica"/>
          <w:sz w:val="22"/>
          <w:szCs w:val="22"/>
          <w:lang w:val="es-ES"/>
        </w:rPr>
        <w:t>,</w:t>
      </w:r>
      <w:r w:rsidR="002F02D6" w:rsidRPr="002F02D6">
        <w:rPr>
          <w:rFonts w:ascii="Century Gothic" w:hAnsi="Century Gothic" w:cs="Helvetica"/>
          <w:sz w:val="22"/>
          <w:szCs w:val="22"/>
          <w:lang w:val="es-ES"/>
        </w:rPr>
        <w:t xml:space="preserve"> para ofrecer a sus 27 millones de socios un fácil acceso a recompensas y privilegios personalizados durante todo el año. </w:t>
      </w:r>
      <w:hyperlink r:id="rId9" w:history="1">
        <w:r w:rsidR="004D51B1" w:rsidRPr="0021297E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“</w:t>
        </w:r>
        <w:r w:rsidR="002F02D6" w:rsidRPr="0021297E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Skywards+</w:t>
        </w:r>
        <w:r w:rsidR="004D51B1" w:rsidRPr="0021297E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”</w:t>
        </w:r>
      </w:hyperlink>
      <w:r w:rsidR="004D51B1">
        <w:rPr>
          <w:rFonts w:ascii="Century Gothic" w:hAnsi="Century Gothic" w:cs="Helvetica"/>
          <w:sz w:val="22"/>
          <w:szCs w:val="22"/>
          <w:lang w:val="es-ES"/>
        </w:rPr>
        <w:t>, que se puso a prueba inicialmente en 2019 con miembros seleccionados,</w:t>
      </w:r>
      <w:r w:rsidR="002F02D6" w:rsidRPr="002F02D6">
        <w:rPr>
          <w:rFonts w:ascii="Century Gothic" w:hAnsi="Century Gothic" w:cs="Helvetica"/>
          <w:sz w:val="22"/>
          <w:szCs w:val="22"/>
          <w:lang w:val="es-ES"/>
        </w:rPr>
        <w:t xml:space="preserve"> está ahora disponible para todos los </w:t>
      </w:r>
      <w:r w:rsidR="004D51B1">
        <w:rPr>
          <w:rFonts w:ascii="Century Gothic" w:hAnsi="Century Gothic" w:cs="Helvetica"/>
          <w:sz w:val="22"/>
          <w:szCs w:val="22"/>
          <w:lang w:val="es-ES"/>
        </w:rPr>
        <w:t>socios</w:t>
      </w:r>
      <w:r w:rsidR="002F02D6" w:rsidRPr="002F02D6">
        <w:rPr>
          <w:rFonts w:ascii="Century Gothic" w:hAnsi="Century Gothic" w:cs="Helvetica"/>
          <w:sz w:val="22"/>
          <w:szCs w:val="22"/>
          <w:lang w:val="es-ES"/>
        </w:rPr>
        <w:t xml:space="preserve"> conectados y activos de Emirates Skywards. A partir de una tarifa de suscripción anual de 399 USD, pueden inscribirse en emirates.com y disfrutar de ventajas como millas Skywards de bonificación, millas de nivel de bonificación, recompensas de </w:t>
      </w:r>
      <w:proofErr w:type="spellStart"/>
      <w:r w:rsidR="004D51B1" w:rsidRPr="004D51B1">
        <w:rPr>
          <w:rFonts w:ascii="Century Gothic" w:hAnsi="Century Gothic" w:cs="Helvetica"/>
          <w:i/>
          <w:iCs/>
          <w:sz w:val="22"/>
          <w:szCs w:val="22"/>
          <w:lang w:val="es-ES"/>
        </w:rPr>
        <w:t>upgrade</w:t>
      </w:r>
      <w:proofErr w:type="spellEnd"/>
      <w:r w:rsidR="002F02D6" w:rsidRPr="002F02D6">
        <w:rPr>
          <w:rFonts w:ascii="Century Gothic" w:hAnsi="Century Gothic" w:cs="Helvetica"/>
          <w:sz w:val="22"/>
          <w:szCs w:val="22"/>
          <w:lang w:val="es-ES"/>
        </w:rPr>
        <w:t xml:space="preserve"> de categoría con descuento, acceso a las salas VIP de los aeropuertos, tarifas preferentes de Cash + Miles y mucho más.</w:t>
      </w:r>
    </w:p>
    <w:p w14:paraId="0B862AA3" w14:textId="66B08917" w:rsidR="002F02D6" w:rsidRPr="001A172C" w:rsidRDefault="002F02D6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b/>
          <w:bCs/>
          <w:sz w:val="22"/>
          <w:szCs w:val="22"/>
          <w:lang w:val="es-ES"/>
        </w:rPr>
      </w:pPr>
      <w:r w:rsidRPr="001A172C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 Paquetes </w:t>
      </w:r>
      <w:r w:rsidR="000A5693">
        <w:rPr>
          <w:rFonts w:ascii="Century Gothic" w:hAnsi="Century Gothic" w:cs="Helvetica"/>
          <w:b/>
          <w:bCs/>
          <w:sz w:val="22"/>
          <w:szCs w:val="22"/>
          <w:lang w:val="es-ES"/>
        </w:rPr>
        <w:t>“</w:t>
      </w:r>
      <w:r w:rsidRPr="001A172C">
        <w:rPr>
          <w:rFonts w:ascii="Century Gothic" w:hAnsi="Century Gothic" w:cs="Helvetica"/>
          <w:b/>
          <w:bCs/>
          <w:sz w:val="22"/>
          <w:szCs w:val="22"/>
          <w:lang w:val="es-ES"/>
        </w:rPr>
        <w:t>Skywards+</w:t>
      </w:r>
      <w:r w:rsidR="000A5693">
        <w:rPr>
          <w:rFonts w:ascii="Century Gothic" w:hAnsi="Century Gothic" w:cs="Helvetica"/>
          <w:b/>
          <w:bCs/>
          <w:sz w:val="22"/>
          <w:szCs w:val="22"/>
          <w:lang w:val="es-ES"/>
        </w:rPr>
        <w:t>”</w:t>
      </w:r>
      <w:r w:rsidRPr="001A172C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 para todos los socios</w:t>
      </w:r>
    </w:p>
    <w:p w14:paraId="4D4ED29E" w14:textId="36543D0D" w:rsidR="002F02D6" w:rsidRPr="002F02D6" w:rsidRDefault="002F02D6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El programa de fidelidad ha introducido múltiples paquetes </w:t>
      </w:r>
      <w:r w:rsidR="000A5693">
        <w:rPr>
          <w:rFonts w:ascii="Century Gothic" w:hAnsi="Century Gothic" w:cs="Helvetica"/>
          <w:sz w:val="22"/>
          <w:szCs w:val="22"/>
          <w:lang w:val="es-ES"/>
        </w:rPr>
        <w:t>“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>Skywards+</w:t>
      </w:r>
      <w:r w:rsidR="000A5693">
        <w:rPr>
          <w:rFonts w:ascii="Century Gothic" w:hAnsi="Century Gothic" w:cs="Helvetica"/>
          <w:sz w:val="22"/>
          <w:szCs w:val="22"/>
          <w:lang w:val="es-ES"/>
        </w:rPr>
        <w:t>”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con beneficios personalizados para adaptarse a las necesidades de cada socio. Los miembros de las categorías Blue, Silver, Gold y </w:t>
      </w:r>
      <w:proofErr w:type="spellStart"/>
      <w:r w:rsidRPr="002F02D6">
        <w:rPr>
          <w:rFonts w:ascii="Century Gothic" w:hAnsi="Century Gothic" w:cs="Helvetica"/>
          <w:sz w:val="22"/>
          <w:szCs w:val="22"/>
          <w:lang w:val="es-ES"/>
        </w:rPr>
        <w:t>Platinum</w:t>
      </w:r>
      <w:proofErr w:type="spellEnd"/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pueden suscribirse a uno de los siguientes: Paquete Clásico, con una tarifa de suscripción anual de 399 dólares; Paquete Avanzado, con una tarifa de suscripción anual de 699 dólares; y Paquete Premium, con una tarifa de suscripción anual de 999 dólares*.</w:t>
      </w:r>
    </w:p>
    <w:p w14:paraId="68F659A8" w14:textId="65A95E10" w:rsidR="002F02D6" w:rsidRDefault="002F02D6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lastRenderedPageBreak/>
        <w:t xml:space="preserve">El Paquete </w:t>
      </w:r>
      <w:r w:rsidR="000A5693">
        <w:rPr>
          <w:rFonts w:ascii="Century Gothic" w:hAnsi="Century Gothic" w:cs="Helvetica"/>
          <w:sz w:val="22"/>
          <w:szCs w:val="22"/>
          <w:lang w:val="es-ES"/>
        </w:rPr>
        <w:t>Clásico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ofrecerá a los socios 20</w:t>
      </w:r>
      <w:r w:rsidR="000A569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% de bonificación de </w:t>
      </w:r>
      <w:r w:rsidR="000A5693">
        <w:rPr>
          <w:rFonts w:ascii="Century Gothic" w:hAnsi="Century Gothic" w:cs="Helvetica"/>
          <w:sz w:val="22"/>
          <w:szCs w:val="22"/>
          <w:lang w:val="es-ES"/>
        </w:rPr>
        <w:t>m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>illas Skywards; acceso a la sala VIP de Business</w:t>
      </w:r>
      <w:r w:rsidR="000A569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proofErr w:type="spellStart"/>
      <w:r w:rsidR="000A5693">
        <w:rPr>
          <w:rFonts w:ascii="Century Gothic" w:hAnsi="Century Gothic" w:cs="Helvetica"/>
          <w:sz w:val="22"/>
          <w:szCs w:val="22"/>
          <w:lang w:val="es-ES"/>
        </w:rPr>
        <w:t>Class</w:t>
      </w:r>
      <w:proofErr w:type="spellEnd"/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de Emirates dos veces al año; y 5 </w:t>
      </w:r>
      <w:r w:rsidR="000A5693">
        <w:rPr>
          <w:rFonts w:ascii="Century Gothic" w:hAnsi="Century Gothic" w:cs="Helvetica"/>
          <w:sz w:val="22"/>
          <w:szCs w:val="22"/>
          <w:lang w:val="es-ES"/>
        </w:rPr>
        <w:t>kg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de franquicia de equipaje extra.</w:t>
      </w:r>
    </w:p>
    <w:p w14:paraId="423E3E19" w14:textId="1F22342A" w:rsidR="002F02D6" w:rsidRDefault="002F02D6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El </w:t>
      </w:r>
      <w:r w:rsidR="000A5693">
        <w:rPr>
          <w:rFonts w:ascii="Century Gothic" w:hAnsi="Century Gothic" w:cs="Helvetica"/>
          <w:sz w:val="22"/>
          <w:szCs w:val="22"/>
          <w:lang w:val="es-ES"/>
        </w:rPr>
        <w:t>P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aquete </w:t>
      </w:r>
      <w:r w:rsidR="000A5693">
        <w:rPr>
          <w:rFonts w:ascii="Century Gothic" w:hAnsi="Century Gothic" w:cs="Helvetica"/>
          <w:sz w:val="22"/>
          <w:szCs w:val="22"/>
          <w:lang w:val="es-ES"/>
        </w:rPr>
        <w:t>Avanzado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ofrecerá a los socios 20</w:t>
      </w:r>
      <w:r w:rsidR="000A5693">
        <w:rPr>
          <w:rFonts w:ascii="Century Gothic" w:hAnsi="Century Gothic" w:cs="Helvetica"/>
          <w:sz w:val="22"/>
          <w:szCs w:val="22"/>
          <w:lang w:val="es-ES"/>
        </w:rPr>
        <w:t xml:space="preserve"> %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de descuento en las recompensas de </w:t>
      </w:r>
      <w:proofErr w:type="spellStart"/>
      <w:r w:rsidR="000A5693" w:rsidRPr="000A5693">
        <w:rPr>
          <w:rFonts w:ascii="Century Gothic" w:hAnsi="Century Gothic" w:cs="Helvetica"/>
          <w:i/>
          <w:iCs/>
          <w:sz w:val="22"/>
          <w:szCs w:val="22"/>
          <w:lang w:val="es-ES"/>
        </w:rPr>
        <w:t>upgrade</w:t>
      </w:r>
      <w:proofErr w:type="spellEnd"/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de categoría; 10 </w:t>
      </w:r>
      <w:r w:rsidR="000A5693">
        <w:rPr>
          <w:rFonts w:ascii="Century Gothic" w:hAnsi="Century Gothic" w:cs="Helvetica"/>
          <w:sz w:val="22"/>
          <w:szCs w:val="22"/>
          <w:lang w:val="es-ES"/>
        </w:rPr>
        <w:t>kg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de franquicia de equipaje extra o 1 pieza adicional para el equipaje facturado*; y acceso a la sala VIP de Business </w:t>
      </w:r>
      <w:proofErr w:type="spellStart"/>
      <w:r w:rsidRPr="002F02D6">
        <w:rPr>
          <w:rFonts w:ascii="Century Gothic" w:hAnsi="Century Gothic" w:cs="Helvetica"/>
          <w:sz w:val="22"/>
          <w:szCs w:val="22"/>
          <w:lang w:val="es-ES"/>
        </w:rPr>
        <w:t>Class</w:t>
      </w:r>
      <w:proofErr w:type="spellEnd"/>
      <w:r w:rsidR="000A5693">
        <w:rPr>
          <w:rFonts w:ascii="Century Gothic" w:hAnsi="Century Gothic" w:cs="Helvetica"/>
          <w:sz w:val="22"/>
          <w:szCs w:val="22"/>
          <w:lang w:val="es-ES"/>
        </w:rPr>
        <w:t xml:space="preserve"> de Emirates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cinco veces al año.</w:t>
      </w:r>
    </w:p>
    <w:p w14:paraId="28B8F24D" w14:textId="40BF6E73" w:rsidR="002F02D6" w:rsidRDefault="002F02D6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t>El Paquete Premium</w:t>
      </w:r>
      <w:r w:rsidR="009649EF">
        <w:rPr>
          <w:rFonts w:ascii="Century Gothic" w:hAnsi="Century Gothic" w:cs="Helvetica"/>
          <w:sz w:val="22"/>
          <w:szCs w:val="22"/>
          <w:lang w:val="es-ES"/>
        </w:rPr>
        <w:t>, por su parte,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ofrecerá a los socios la oportunidad de acelerar y mantener el estatus de nivel más rápidamente con</w:t>
      </w:r>
      <w:r w:rsidR="00DB067D">
        <w:rPr>
          <w:rFonts w:ascii="Century Gothic" w:hAnsi="Century Gothic" w:cs="Helvetica"/>
          <w:sz w:val="22"/>
          <w:szCs w:val="22"/>
          <w:lang w:val="es-ES"/>
        </w:rPr>
        <w:t xml:space="preserve"> u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>n 20</w:t>
      </w:r>
      <w:r w:rsidR="00DB067D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% de bonificación de </w:t>
      </w:r>
      <w:r w:rsidR="00DB067D">
        <w:rPr>
          <w:rFonts w:ascii="Century Gothic" w:hAnsi="Century Gothic" w:cs="Helvetica"/>
          <w:sz w:val="22"/>
          <w:szCs w:val="22"/>
          <w:lang w:val="es-ES"/>
        </w:rPr>
        <w:t>m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illas de </w:t>
      </w:r>
      <w:r w:rsidR="00DB067D">
        <w:rPr>
          <w:rFonts w:ascii="Century Gothic" w:hAnsi="Century Gothic" w:cs="Helvetica"/>
          <w:sz w:val="22"/>
          <w:szCs w:val="22"/>
          <w:lang w:val="es-ES"/>
        </w:rPr>
        <w:t>c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>ategoría; un 20</w:t>
      </w:r>
      <w:r w:rsidR="00DB067D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>% de descuento en l</w:t>
      </w:r>
      <w:r w:rsidR="00DB067D">
        <w:rPr>
          <w:rFonts w:ascii="Century Gothic" w:hAnsi="Century Gothic" w:cs="Helvetica"/>
          <w:sz w:val="22"/>
          <w:szCs w:val="22"/>
          <w:lang w:val="es-ES"/>
        </w:rPr>
        <w:t xml:space="preserve">os </w:t>
      </w:r>
      <w:proofErr w:type="spellStart"/>
      <w:r w:rsidR="00DB067D" w:rsidRPr="00DB067D">
        <w:rPr>
          <w:rFonts w:ascii="Century Gothic" w:hAnsi="Century Gothic" w:cs="Helvetica"/>
          <w:i/>
          <w:iCs/>
          <w:sz w:val="22"/>
          <w:szCs w:val="22"/>
          <w:lang w:val="es-ES"/>
        </w:rPr>
        <w:t>upgrades</w:t>
      </w:r>
      <w:proofErr w:type="spellEnd"/>
      <w:r w:rsidR="00DB067D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de clase </w:t>
      </w:r>
      <w:r w:rsidR="00DB067D">
        <w:rPr>
          <w:rFonts w:ascii="Century Gothic" w:hAnsi="Century Gothic" w:cs="Helvetica"/>
          <w:sz w:val="22"/>
          <w:szCs w:val="22"/>
          <w:lang w:val="es-ES"/>
        </w:rPr>
        <w:t>en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los vuelos; acceso a la </w:t>
      </w:r>
      <w:r w:rsidR="00DB067D">
        <w:rPr>
          <w:rFonts w:ascii="Century Gothic" w:hAnsi="Century Gothic" w:cs="Helvetica"/>
          <w:sz w:val="22"/>
          <w:szCs w:val="22"/>
          <w:lang w:val="es-ES"/>
        </w:rPr>
        <w:t>s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>ala VIP de</w:t>
      </w:r>
      <w:r w:rsidR="00DB067D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>Business</w:t>
      </w:r>
      <w:r w:rsidR="00DB067D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proofErr w:type="spellStart"/>
      <w:r w:rsidR="00DB067D">
        <w:rPr>
          <w:rFonts w:ascii="Century Gothic" w:hAnsi="Century Gothic" w:cs="Helvetica"/>
          <w:sz w:val="22"/>
          <w:szCs w:val="22"/>
          <w:lang w:val="es-ES"/>
        </w:rPr>
        <w:t>Class</w:t>
      </w:r>
      <w:proofErr w:type="spellEnd"/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de Emirates diez veces al año; y 10 </w:t>
      </w:r>
      <w:r w:rsidR="00DB067D">
        <w:rPr>
          <w:rFonts w:ascii="Century Gothic" w:hAnsi="Century Gothic" w:cs="Helvetica"/>
          <w:sz w:val="22"/>
          <w:szCs w:val="22"/>
          <w:lang w:val="es-ES"/>
        </w:rPr>
        <w:t>kg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de franquicia de equipaje extra o 1 pieza adicional de equipaje facturado*.</w:t>
      </w:r>
    </w:p>
    <w:p w14:paraId="3A3A3ABF" w14:textId="72B51A36" w:rsidR="002F02D6" w:rsidRDefault="002F02D6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Emirates Skywards sigue liderando el sector con ofertas innovadoras de primer nivel. El programa de fidelidad fue uno de los primeros del mundo en ofrecer a sus miembros una ampliación de su estatus de nivel hasta 2022. La validez de todas las </w:t>
      </w:r>
      <w:r w:rsidR="001919F7">
        <w:rPr>
          <w:rFonts w:ascii="Century Gothic" w:hAnsi="Century Gothic" w:cs="Helvetica"/>
          <w:sz w:val="22"/>
          <w:szCs w:val="22"/>
          <w:lang w:val="es-ES"/>
        </w:rPr>
        <w:t>m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illas Skywards que expiran desde abril de 2020 también se ha ampliado hasta el 31 de diciembre de 2021, proporcionando a los miembros de Emirates Skywards más oportunidades de gastar </w:t>
      </w:r>
      <w:r w:rsidR="001919F7">
        <w:rPr>
          <w:rFonts w:ascii="Century Gothic" w:hAnsi="Century Gothic" w:cs="Helvetica"/>
          <w:sz w:val="22"/>
          <w:szCs w:val="22"/>
          <w:lang w:val="es-ES"/>
        </w:rPr>
        <w:t>m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>illas en una amplia gama de beneficios y privilegios.</w:t>
      </w:r>
    </w:p>
    <w:p w14:paraId="51D13E94" w14:textId="6BD44F45" w:rsidR="002F02D6" w:rsidRPr="002F02D6" w:rsidRDefault="002F02D6" w:rsidP="00B2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Emirates Skywards ofrece cuatro niveles de afiliación: Blue, Silver, Gold y </w:t>
      </w:r>
      <w:proofErr w:type="spellStart"/>
      <w:r w:rsidRPr="002F02D6">
        <w:rPr>
          <w:rFonts w:ascii="Century Gothic" w:hAnsi="Century Gothic" w:cs="Helvetica"/>
          <w:sz w:val="22"/>
          <w:szCs w:val="22"/>
          <w:lang w:val="es-ES"/>
        </w:rPr>
        <w:t>Platinum</w:t>
      </w:r>
      <w:proofErr w:type="spellEnd"/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, cada uno de los cuales ofrece privilegios exclusivos. Los miembros pueden ganar </w:t>
      </w:r>
      <w:r w:rsidR="001919F7">
        <w:rPr>
          <w:rFonts w:ascii="Century Gothic" w:hAnsi="Century Gothic" w:cs="Helvetica"/>
          <w:sz w:val="22"/>
          <w:szCs w:val="22"/>
          <w:lang w:val="es-ES"/>
        </w:rPr>
        <w:t>m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illas con empresas asociadas que van desde aerolíneas, hoteles y alquileres de coches hasta marcas financieras, de ocio y de estilo de vida. Las </w:t>
      </w:r>
      <w:r w:rsidR="001919F7">
        <w:rPr>
          <w:rFonts w:ascii="Century Gothic" w:hAnsi="Century Gothic" w:cs="Helvetica"/>
          <w:sz w:val="22"/>
          <w:szCs w:val="22"/>
          <w:lang w:val="es-ES"/>
        </w:rPr>
        <w:t>m</w:t>
      </w:r>
      <w:r w:rsidRPr="002F02D6">
        <w:rPr>
          <w:rFonts w:ascii="Century Gothic" w:hAnsi="Century Gothic" w:cs="Helvetica"/>
          <w:sz w:val="22"/>
          <w:szCs w:val="22"/>
          <w:lang w:val="es-ES"/>
        </w:rPr>
        <w:t>illas Skywards se pueden gastar en billetes de avión de las aerolíneas asociadas, en estancias en hoteles, en la asistencia a eventos deportivos y culturales y en experiencias que no se pueden comprar con dinero.</w:t>
      </w:r>
    </w:p>
    <w:p w14:paraId="635A8E94" w14:textId="77777777" w:rsidR="002F02D6" w:rsidRPr="002F02D6" w:rsidRDefault="002F02D6" w:rsidP="002F02D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 </w:t>
      </w:r>
    </w:p>
    <w:p w14:paraId="0A4F6525" w14:textId="77777777" w:rsidR="001A172C" w:rsidRDefault="001A172C" w:rsidP="002F02D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entury Gothic" w:hAnsi="Century Gothic" w:cs="Helvetica"/>
          <w:sz w:val="22"/>
          <w:szCs w:val="22"/>
          <w:lang w:val="es-ES"/>
        </w:rPr>
      </w:pPr>
    </w:p>
    <w:p w14:paraId="2247CA71" w14:textId="6AA34733" w:rsidR="0021297E" w:rsidRPr="0021297E" w:rsidRDefault="0021297E" w:rsidP="002F02D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entury Gothic" w:hAnsi="Century Gothic" w:cs="Helvetica"/>
          <w:sz w:val="22"/>
          <w:szCs w:val="22"/>
          <w:lang w:val="es-ES"/>
        </w:rPr>
      </w:pPr>
      <w:r w:rsidRPr="0021297E">
        <w:rPr>
          <w:rFonts w:ascii="Century Gothic" w:hAnsi="Century Gothic" w:cs="Helvetica"/>
          <w:sz w:val="22"/>
          <w:szCs w:val="22"/>
          <w:lang w:val="es-ES"/>
        </w:rPr>
        <w:lastRenderedPageBreak/>
        <w:t xml:space="preserve">Ver video de presentación: </w:t>
      </w:r>
      <w:hyperlink r:id="rId10" w:history="1">
        <w:r w:rsidRPr="0021297E">
          <w:rPr>
            <w:rStyle w:val="Hipervnculo"/>
            <w:rFonts w:ascii="Century Gothic" w:hAnsi="Century Gothic" w:cs="Helvetica"/>
            <w:color w:val="333333"/>
            <w:sz w:val="22"/>
            <w:szCs w:val="22"/>
            <w:shd w:val="clear" w:color="auto" w:fill="FFFFFF"/>
          </w:rPr>
          <w:t>https://www.youtube.com/watch?v=o6ncrO3MJvw</w:t>
        </w:r>
      </w:hyperlink>
      <w:r w:rsidRPr="0021297E">
        <w:rPr>
          <w:rStyle w:val="Hipervnculo"/>
          <w:color w:val="333333"/>
          <w:sz w:val="22"/>
          <w:szCs w:val="22"/>
          <w:shd w:val="clear" w:color="auto" w:fill="FFFFFF"/>
        </w:rPr>
        <w:t>.</w:t>
      </w:r>
    </w:p>
    <w:p w14:paraId="7CD08A4B" w14:textId="2B81813D" w:rsidR="002F02D6" w:rsidRDefault="002F02D6" w:rsidP="002F02D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t>Para más información, vis</w:t>
      </w:r>
      <w:r w:rsidRPr="001919F7">
        <w:rPr>
          <w:rFonts w:ascii="Century Gothic" w:hAnsi="Century Gothic" w:cs="Helvetica"/>
          <w:sz w:val="22"/>
          <w:szCs w:val="22"/>
          <w:lang w:val="es-ES"/>
        </w:rPr>
        <w:t xml:space="preserve">ite </w:t>
      </w:r>
      <w:hyperlink r:id="rId11" w:history="1">
        <w:r w:rsidR="001919F7" w:rsidRPr="001919F7">
          <w:rPr>
            <w:rStyle w:val="Hipervnculo"/>
            <w:rFonts w:ascii="Century Gothic" w:hAnsi="Century Gothic" w:cs="Helvetica"/>
            <w:color w:val="333333"/>
            <w:sz w:val="22"/>
            <w:szCs w:val="22"/>
            <w:shd w:val="clear" w:color="auto" w:fill="FFFFFF"/>
          </w:rPr>
          <w:t>emirates.com/</w:t>
        </w:r>
        <w:proofErr w:type="spellStart"/>
        <w:r w:rsidR="001919F7" w:rsidRPr="001919F7">
          <w:rPr>
            <w:rStyle w:val="Hipervnculo"/>
            <w:rFonts w:ascii="Century Gothic" w:hAnsi="Century Gothic" w:cs="Helvetica"/>
            <w:color w:val="333333"/>
            <w:sz w:val="22"/>
            <w:szCs w:val="22"/>
            <w:shd w:val="clear" w:color="auto" w:fill="FFFFFF"/>
          </w:rPr>
          <w:t>skywards</w:t>
        </w:r>
        <w:proofErr w:type="spellEnd"/>
        <w:r w:rsidR="001919F7" w:rsidRPr="001919F7">
          <w:rPr>
            <w:rStyle w:val="Hipervnculo"/>
            <w:rFonts w:ascii="Century Gothic" w:hAnsi="Century Gothic" w:cs="Helvetica"/>
            <w:color w:val="333333"/>
            <w:sz w:val="22"/>
            <w:szCs w:val="22"/>
            <w:shd w:val="clear" w:color="auto" w:fill="FFFFFF"/>
          </w:rPr>
          <w:t>.</w:t>
        </w:r>
      </w:hyperlink>
    </w:p>
    <w:p w14:paraId="42DB54AB" w14:textId="479D68F6" w:rsidR="002F02D6" w:rsidRDefault="002F02D6" w:rsidP="002F02D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t>*Se aplican términos y condiciones</w:t>
      </w:r>
    </w:p>
    <w:p w14:paraId="1FBD2728" w14:textId="601C905E" w:rsidR="002F02D6" w:rsidRPr="002F02D6" w:rsidRDefault="002F02D6" w:rsidP="002F02D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entury Gothic" w:hAnsi="Century Gothic" w:cs="Helvetica"/>
          <w:sz w:val="22"/>
          <w:szCs w:val="22"/>
          <w:lang w:val="es-ES"/>
        </w:rPr>
      </w:pPr>
      <w:r w:rsidRPr="002F02D6">
        <w:rPr>
          <w:rFonts w:ascii="Century Gothic" w:hAnsi="Century Gothic" w:cs="Helvetica"/>
          <w:sz w:val="22"/>
          <w:szCs w:val="22"/>
          <w:lang w:val="es-ES"/>
        </w:rPr>
        <w:t xml:space="preserve">*Se aplican términos y condiciones para la franquicia de equipaje por pieza extra </w:t>
      </w:r>
    </w:p>
    <w:p w14:paraId="30CF27E5" w14:textId="0DE07D25" w:rsidR="00AB00E8" w:rsidRPr="008227EF" w:rsidRDefault="00AB00E8" w:rsidP="00781D0B">
      <w:pPr>
        <w:spacing w:before="180" w:after="180"/>
        <w:jc w:val="both"/>
        <w:rPr>
          <w:lang w:val="es-AR" w:eastAsia="es-AR"/>
        </w:rPr>
      </w:pPr>
    </w:p>
    <w:sectPr w:rsidR="00AB00E8" w:rsidRPr="008227EF" w:rsidSect="00D154EF">
      <w:headerReference w:type="default" r:id="rId12"/>
      <w:pgSz w:w="11900" w:h="16840"/>
      <w:pgMar w:top="1417" w:right="1268" w:bottom="7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EF17" w14:textId="77777777" w:rsidR="00E06AD6" w:rsidRDefault="00E06AD6">
      <w:r>
        <w:separator/>
      </w:r>
    </w:p>
  </w:endnote>
  <w:endnote w:type="continuationSeparator" w:id="0">
    <w:p w14:paraId="3F6173AF" w14:textId="77777777" w:rsidR="00E06AD6" w:rsidRDefault="00E0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64B2" w14:textId="77777777" w:rsidR="00E06AD6" w:rsidRDefault="00E06AD6">
      <w:r>
        <w:separator/>
      </w:r>
    </w:p>
  </w:footnote>
  <w:footnote w:type="continuationSeparator" w:id="0">
    <w:p w14:paraId="44506B45" w14:textId="77777777" w:rsidR="00E06AD6" w:rsidRDefault="00E0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607A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C52055E" wp14:editId="71A4DA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3275" cy="143065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275" cy="143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51EED4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194411EF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6370CC46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79597A16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78AD83F7" w14:textId="77777777"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D67"/>
    <w:multiLevelType w:val="hybridMultilevel"/>
    <w:tmpl w:val="13CE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5F6"/>
    <w:multiLevelType w:val="hybridMultilevel"/>
    <w:tmpl w:val="24B8EBBE"/>
    <w:lvl w:ilvl="0" w:tplc="B7DE6A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69A9"/>
    <w:multiLevelType w:val="hybridMultilevel"/>
    <w:tmpl w:val="F74A6A6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CF40567C">
      <w:numFmt w:val="bullet"/>
      <w:lvlText w:val="-"/>
      <w:lvlJc w:val="left"/>
      <w:pPr>
        <w:ind w:left="1505" w:hanging="360"/>
      </w:pPr>
      <w:rPr>
        <w:rFonts w:ascii="Century Gothic" w:eastAsia="Times New Roman" w:hAnsi="Century Gothic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2B424EC"/>
    <w:multiLevelType w:val="hybridMultilevel"/>
    <w:tmpl w:val="BC42AEC4"/>
    <w:lvl w:ilvl="0" w:tplc="0AE20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1568"/>
    <w:multiLevelType w:val="hybridMultilevel"/>
    <w:tmpl w:val="D42C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385C"/>
    <w:multiLevelType w:val="hybridMultilevel"/>
    <w:tmpl w:val="62AC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2951"/>
    <w:multiLevelType w:val="hybridMultilevel"/>
    <w:tmpl w:val="E1DC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0A45"/>
    <w:multiLevelType w:val="hybridMultilevel"/>
    <w:tmpl w:val="CA0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E575D"/>
    <w:multiLevelType w:val="hybridMultilevel"/>
    <w:tmpl w:val="CAF8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2FDF"/>
    <w:multiLevelType w:val="hybridMultilevel"/>
    <w:tmpl w:val="7D4C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934"/>
    <w:multiLevelType w:val="hybridMultilevel"/>
    <w:tmpl w:val="A332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3F48"/>
    <w:multiLevelType w:val="hybridMultilevel"/>
    <w:tmpl w:val="C29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7277"/>
    <w:multiLevelType w:val="hybridMultilevel"/>
    <w:tmpl w:val="1766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1122"/>
    <w:multiLevelType w:val="hybridMultilevel"/>
    <w:tmpl w:val="77B492C8"/>
    <w:lvl w:ilvl="0" w:tplc="7BE2054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B4B36"/>
    <w:multiLevelType w:val="hybridMultilevel"/>
    <w:tmpl w:val="2A50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E1B16"/>
    <w:multiLevelType w:val="hybridMultilevel"/>
    <w:tmpl w:val="08E69D6A"/>
    <w:lvl w:ilvl="0" w:tplc="335813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97F1A"/>
    <w:multiLevelType w:val="hybridMultilevel"/>
    <w:tmpl w:val="F5E4F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1F51C1"/>
    <w:multiLevelType w:val="hybridMultilevel"/>
    <w:tmpl w:val="5C4E7122"/>
    <w:lvl w:ilvl="0" w:tplc="F2E4AC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1B06"/>
    <w:multiLevelType w:val="hybridMultilevel"/>
    <w:tmpl w:val="2CBC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D4F66"/>
    <w:multiLevelType w:val="hybridMultilevel"/>
    <w:tmpl w:val="D18A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06E28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41B2E"/>
    <w:multiLevelType w:val="hybridMultilevel"/>
    <w:tmpl w:val="58E021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55812"/>
    <w:multiLevelType w:val="hybridMultilevel"/>
    <w:tmpl w:val="74A6A648"/>
    <w:lvl w:ilvl="0" w:tplc="842AA662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4533AF4"/>
    <w:multiLevelType w:val="hybridMultilevel"/>
    <w:tmpl w:val="D11C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65573"/>
    <w:multiLevelType w:val="hybridMultilevel"/>
    <w:tmpl w:val="C6CA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37D5A"/>
    <w:multiLevelType w:val="hybridMultilevel"/>
    <w:tmpl w:val="6E98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5518"/>
    <w:multiLevelType w:val="hybridMultilevel"/>
    <w:tmpl w:val="7BE2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0558D"/>
    <w:multiLevelType w:val="hybridMultilevel"/>
    <w:tmpl w:val="8FF0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D257E"/>
    <w:multiLevelType w:val="hybridMultilevel"/>
    <w:tmpl w:val="2BC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27700"/>
    <w:multiLevelType w:val="hybridMultilevel"/>
    <w:tmpl w:val="7468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C4F68"/>
    <w:multiLevelType w:val="hybridMultilevel"/>
    <w:tmpl w:val="D0E21258"/>
    <w:lvl w:ilvl="0" w:tplc="DEE0D778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0401777"/>
    <w:multiLevelType w:val="hybridMultilevel"/>
    <w:tmpl w:val="BDD4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3717"/>
    <w:multiLevelType w:val="multilevel"/>
    <w:tmpl w:val="3FA64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AC68D7"/>
    <w:multiLevelType w:val="hybridMultilevel"/>
    <w:tmpl w:val="8DF2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61ED"/>
    <w:multiLevelType w:val="hybridMultilevel"/>
    <w:tmpl w:val="3E6C248C"/>
    <w:lvl w:ilvl="0" w:tplc="04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 w15:restartNumberingAfterBreak="0">
    <w:nsid w:val="7A572A80"/>
    <w:multiLevelType w:val="hybridMultilevel"/>
    <w:tmpl w:val="67C8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C0CD0"/>
    <w:multiLevelType w:val="hybridMultilevel"/>
    <w:tmpl w:val="6D28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16"/>
  </w:num>
  <w:num w:numId="5">
    <w:abstractNumId w:val="6"/>
  </w:num>
  <w:num w:numId="6">
    <w:abstractNumId w:val="24"/>
  </w:num>
  <w:num w:numId="7">
    <w:abstractNumId w:val="10"/>
  </w:num>
  <w:num w:numId="8">
    <w:abstractNumId w:val="35"/>
  </w:num>
  <w:num w:numId="9">
    <w:abstractNumId w:val="21"/>
  </w:num>
  <w:num w:numId="10">
    <w:abstractNumId w:val="4"/>
  </w:num>
  <w:num w:numId="11">
    <w:abstractNumId w:val="11"/>
  </w:num>
  <w:num w:numId="12">
    <w:abstractNumId w:val="34"/>
  </w:num>
  <w:num w:numId="13">
    <w:abstractNumId w:val="7"/>
  </w:num>
  <w:num w:numId="14">
    <w:abstractNumId w:val="22"/>
  </w:num>
  <w:num w:numId="15">
    <w:abstractNumId w:val="13"/>
  </w:num>
  <w:num w:numId="16">
    <w:abstractNumId w:val="30"/>
  </w:num>
  <w:num w:numId="17">
    <w:abstractNumId w:val="32"/>
  </w:num>
  <w:num w:numId="18">
    <w:abstractNumId w:val="1"/>
  </w:num>
  <w:num w:numId="19">
    <w:abstractNumId w:val="19"/>
  </w:num>
  <w:num w:numId="20">
    <w:abstractNumId w:val="27"/>
  </w:num>
  <w:num w:numId="21">
    <w:abstractNumId w:val="8"/>
  </w:num>
  <w:num w:numId="22">
    <w:abstractNumId w:val="12"/>
  </w:num>
  <w:num w:numId="23">
    <w:abstractNumId w:val="17"/>
  </w:num>
  <w:num w:numId="24">
    <w:abstractNumId w:val="0"/>
  </w:num>
  <w:num w:numId="25">
    <w:abstractNumId w:val="3"/>
  </w:num>
  <w:num w:numId="26">
    <w:abstractNumId w:val="26"/>
  </w:num>
  <w:num w:numId="27">
    <w:abstractNumId w:val="23"/>
  </w:num>
  <w:num w:numId="28">
    <w:abstractNumId w:val="15"/>
  </w:num>
  <w:num w:numId="29">
    <w:abstractNumId w:val="9"/>
  </w:num>
  <w:num w:numId="30">
    <w:abstractNumId w:val="2"/>
  </w:num>
  <w:num w:numId="31">
    <w:abstractNumId w:val="29"/>
  </w:num>
  <w:num w:numId="32">
    <w:abstractNumId w:val="18"/>
  </w:num>
  <w:num w:numId="33">
    <w:abstractNumId w:val="25"/>
  </w:num>
  <w:num w:numId="34">
    <w:abstractNumId w:val="14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E8"/>
    <w:rsid w:val="0000502E"/>
    <w:rsid w:val="00022E2F"/>
    <w:rsid w:val="00040619"/>
    <w:rsid w:val="0005154A"/>
    <w:rsid w:val="000526AD"/>
    <w:rsid w:val="00053F1E"/>
    <w:rsid w:val="000549E0"/>
    <w:rsid w:val="000820BE"/>
    <w:rsid w:val="00084F06"/>
    <w:rsid w:val="000A5693"/>
    <w:rsid w:val="000C001D"/>
    <w:rsid w:val="000C416A"/>
    <w:rsid w:val="000C7474"/>
    <w:rsid w:val="000D3FCD"/>
    <w:rsid w:val="000D5E02"/>
    <w:rsid w:val="000D6B07"/>
    <w:rsid w:val="000E1C01"/>
    <w:rsid w:val="000F3320"/>
    <w:rsid w:val="001171CE"/>
    <w:rsid w:val="00125613"/>
    <w:rsid w:val="00125F42"/>
    <w:rsid w:val="00133397"/>
    <w:rsid w:val="0013526B"/>
    <w:rsid w:val="001438D1"/>
    <w:rsid w:val="00155AF3"/>
    <w:rsid w:val="00156851"/>
    <w:rsid w:val="0015796E"/>
    <w:rsid w:val="001919F7"/>
    <w:rsid w:val="001A172C"/>
    <w:rsid w:val="001A2E48"/>
    <w:rsid w:val="001C5A2C"/>
    <w:rsid w:val="001F5943"/>
    <w:rsid w:val="001F6558"/>
    <w:rsid w:val="0020696C"/>
    <w:rsid w:val="00210E19"/>
    <w:rsid w:val="0021297E"/>
    <w:rsid w:val="00216402"/>
    <w:rsid w:val="00222340"/>
    <w:rsid w:val="0022765D"/>
    <w:rsid w:val="00230AC3"/>
    <w:rsid w:val="002310D5"/>
    <w:rsid w:val="00232973"/>
    <w:rsid w:val="00245731"/>
    <w:rsid w:val="00252883"/>
    <w:rsid w:val="00254A44"/>
    <w:rsid w:val="00260BB1"/>
    <w:rsid w:val="00263B40"/>
    <w:rsid w:val="0027266F"/>
    <w:rsid w:val="002835AB"/>
    <w:rsid w:val="00284D22"/>
    <w:rsid w:val="00294828"/>
    <w:rsid w:val="002A2FA7"/>
    <w:rsid w:val="002F02D6"/>
    <w:rsid w:val="002F11A3"/>
    <w:rsid w:val="00303782"/>
    <w:rsid w:val="00314757"/>
    <w:rsid w:val="0031552A"/>
    <w:rsid w:val="0031590A"/>
    <w:rsid w:val="00316359"/>
    <w:rsid w:val="00327CCE"/>
    <w:rsid w:val="003308E5"/>
    <w:rsid w:val="0033101B"/>
    <w:rsid w:val="00340B90"/>
    <w:rsid w:val="00353F1E"/>
    <w:rsid w:val="0035696E"/>
    <w:rsid w:val="0036455D"/>
    <w:rsid w:val="003678F3"/>
    <w:rsid w:val="003709A2"/>
    <w:rsid w:val="00373710"/>
    <w:rsid w:val="00377787"/>
    <w:rsid w:val="003820FF"/>
    <w:rsid w:val="00382677"/>
    <w:rsid w:val="003B3CA5"/>
    <w:rsid w:val="003B7047"/>
    <w:rsid w:val="003D58E1"/>
    <w:rsid w:val="003E4645"/>
    <w:rsid w:val="003E4BFA"/>
    <w:rsid w:val="003F1348"/>
    <w:rsid w:val="00402A79"/>
    <w:rsid w:val="00414969"/>
    <w:rsid w:val="00415A1C"/>
    <w:rsid w:val="00437023"/>
    <w:rsid w:val="00456D76"/>
    <w:rsid w:val="004767F9"/>
    <w:rsid w:val="00490424"/>
    <w:rsid w:val="004920D6"/>
    <w:rsid w:val="00496EE2"/>
    <w:rsid w:val="004D1072"/>
    <w:rsid w:val="004D1441"/>
    <w:rsid w:val="004D372A"/>
    <w:rsid w:val="004D51B1"/>
    <w:rsid w:val="004E0A36"/>
    <w:rsid w:val="004E2A62"/>
    <w:rsid w:val="004F5371"/>
    <w:rsid w:val="00501C94"/>
    <w:rsid w:val="00511A14"/>
    <w:rsid w:val="00511DAA"/>
    <w:rsid w:val="0051237D"/>
    <w:rsid w:val="00513EC3"/>
    <w:rsid w:val="00516B7F"/>
    <w:rsid w:val="00520DF2"/>
    <w:rsid w:val="00521FCA"/>
    <w:rsid w:val="0052479A"/>
    <w:rsid w:val="00541B8C"/>
    <w:rsid w:val="00543C11"/>
    <w:rsid w:val="00544947"/>
    <w:rsid w:val="00550DE2"/>
    <w:rsid w:val="00552030"/>
    <w:rsid w:val="005602B2"/>
    <w:rsid w:val="00573AB8"/>
    <w:rsid w:val="0058107D"/>
    <w:rsid w:val="0058272A"/>
    <w:rsid w:val="005857DE"/>
    <w:rsid w:val="005948B7"/>
    <w:rsid w:val="00596592"/>
    <w:rsid w:val="005A19EF"/>
    <w:rsid w:val="005C3EC4"/>
    <w:rsid w:val="005D63AE"/>
    <w:rsid w:val="005D75B4"/>
    <w:rsid w:val="005E23A6"/>
    <w:rsid w:val="005E46E6"/>
    <w:rsid w:val="005E72CD"/>
    <w:rsid w:val="005F0118"/>
    <w:rsid w:val="0060787A"/>
    <w:rsid w:val="006279F1"/>
    <w:rsid w:val="006318A5"/>
    <w:rsid w:val="00663E69"/>
    <w:rsid w:val="006665F3"/>
    <w:rsid w:val="006929B5"/>
    <w:rsid w:val="006978FC"/>
    <w:rsid w:val="00697D10"/>
    <w:rsid w:val="006D6F30"/>
    <w:rsid w:val="006F32DA"/>
    <w:rsid w:val="00722971"/>
    <w:rsid w:val="0072655E"/>
    <w:rsid w:val="00730F64"/>
    <w:rsid w:val="007340BC"/>
    <w:rsid w:val="0073689D"/>
    <w:rsid w:val="00737D30"/>
    <w:rsid w:val="0074368B"/>
    <w:rsid w:val="00772FB9"/>
    <w:rsid w:val="00774168"/>
    <w:rsid w:val="00774A7F"/>
    <w:rsid w:val="00775D88"/>
    <w:rsid w:val="00777F54"/>
    <w:rsid w:val="00781D0B"/>
    <w:rsid w:val="00785AA2"/>
    <w:rsid w:val="00793F6F"/>
    <w:rsid w:val="007A7BDB"/>
    <w:rsid w:val="007B066B"/>
    <w:rsid w:val="007B0DEB"/>
    <w:rsid w:val="007B7D81"/>
    <w:rsid w:val="007C676B"/>
    <w:rsid w:val="007D3459"/>
    <w:rsid w:val="007E4350"/>
    <w:rsid w:val="007E5B82"/>
    <w:rsid w:val="007E643B"/>
    <w:rsid w:val="007F0CD6"/>
    <w:rsid w:val="007F4CDC"/>
    <w:rsid w:val="008227EF"/>
    <w:rsid w:val="008230C4"/>
    <w:rsid w:val="00823C75"/>
    <w:rsid w:val="008319BB"/>
    <w:rsid w:val="00833812"/>
    <w:rsid w:val="008426C6"/>
    <w:rsid w:val="00855AD5"/>
    <w:rsid w:val="00872D54"/>
    <w:rsid w:val="008836D5"/>
    <w:rsid w:val="00892105"/>
    <w:rsid w:val="008A15FE"/>
    <w:rsid w:val="008A3AA2"/>
    <w:rsid w:val="008B1CCE"/>
    <w:rsid w:val="008B5CC7"/>
    <w:rsid w:val="008D1368"/>
    <w:rsid w:val="008D2A46"/>
    <w:rsid w:val="008D4512"/>
    <w:rsid w:val="0090330F"/>
    <w:rsid w:val="00903F58"/>
    <w:rsid w:val="00914166"/>
    <w:rsid w:val="00920C87"/>
    <w:rsid w:val="009311C6"/>
    <w:rsid w:val="00933DD6"/>
    <w:rsid w:val="00943CCF"/>
    <w:rsid w:val="0096303F"/>
    <w:rsid w:val="009649EF"/>
    <w:rsid w:val="00973AA0"/>
    <w:rsid w:val="00974384"/>
    <w:rsid w:val="00976272"/>
    <w:rsid w:val="0097640A"/>
    <w:rsid w:val="009A1F3F"/>
    <w:rsid w:val="009A3FF4"/>
    <w:rsid w:val="009B0408"/>
    <w:rsid w:val="009B518D"/>
    <w:rsid w:val="009C5CDA"/>
    <w:rsid w:val="009C7132"/>
    <w:rsid w:val="009D10E2"/>
    <w:rsid w:val="009D23B7"/>
    <w:rsid w:val="009E05EC"/>
    <w:rsid w:val="009E7DE2"/>
    <w:rsid w:val="009F2107"/>
    <w:rsid w:val="00A01815"/>
    <w:rsid w:val="00A03322"/>
    <w:rsid w:val="00A11FFC"/>
    <w:rsid w:val="00A13473"/>
    <w:rsid w:val="00A13B85"/>
    <w:rsid w:val="00A14CB6"/>
    <w:rsid w:val="00A16401"/>
    <w:rsid w:val="00A1643D"/>
    <w:rsid w:val="00A228E1"/>
    <w:rsid w:val="00A242F0"/>
    <w:rsid w:val="00A346E3"/>
    <w:rsid w:val="00A35FC7"/>
    <w:rsid w:val="00A44481"/>
    <w:rsid w:val="00A518C5"/>
    <w:rsid w:val="00A60EC3"/>
    <w:rsid w:val="00A629FD"/>
    <w:rsid w:val="00A62F75"/>
    <w:rsid w:val="00A63E00"/>
    <w:rsid w:val="00A64F47"/>
    <w:rsid w:val="00A95B57"/>
    <w:rsid w:val="00AA4A4C"/>
    <w:rsid w:val="00AA5282"/>
    <w:rsid w:val="00AA7C3A"/>
    <w:rsid w:val="00AB00E8"/>
    <w:rsid w:val="00AB7AD0"/>
    <w:rsid w:val="00AC011A"/>
    <w:rsid w:val="00AD1389"/>
    <w:rsid w:val="00AD1D61"/>
    <w:rsid w:val="00AF46F6"/>
    <w:rsid w:val="00B03F4A"/>
    <w:rsid w:val="00B03FCD"/>
    <w:rsid w:val="00B06DAB"/>
    <w:rsid w:val="00B06EF4"/>
    <w:rsid w:val="00B10366"/>
    <w:rsid w:val="00B15634"/>
    <w:rsid w:val="00B2203C"/>
    <w:rsid w:val="00B346F9"/>
    <w:rsid w:val="00B36D75"/>
    <w:rsid w:val="00B460A4"/>
    <w:rsid w:val="00B558B9"/>
    <w:rsid w:val="00B636E5"/>
    <w:rsid w:val="00B70C2A"/>
    <w:rsid w:val="00B70C7E"/>
    <w:rsid w:val="00B857E0"/>
    <w:rsid w:val="00B92A83"/>
    <w:rsid w:val="00BB03CC"/>
    <w:rsid w:val="00BB1598"/>
    <w:rsid w:val="00BB7B1C"/>
    <w:rsid w:val="00BD03D3"/>
    <w:rsid w:val="00BD1CEC"/>
    <w:rsid w:val="00BE0233"/>
    <w:rsid w:val="00BE2B4B"/>
    <w:rsid w:val="00BE6BFB"/>
    <w:rsid w:val="00BF6168"/>
    <w:rsid w:val="00BF7728"/>
    <w:rsid w:val="00C03DBF"/>
    <w:rsid w:val="00C06040"/>
    <w:rsid w:val="00C17497"/>
    <w:rsid w:val="00C26A54"/>
    <w:rsid w:val="00C26B6C"/>
    <w:rsid w:val="00C446D6"/>
    <w:rsid w:val="00C46BA4"/>
    <w:rsid w:val="00C51574"/>
    <w:rsid w:val="00C5760C"/>
    <w:rsid w:val="00C63571"/>
    <w:rsid w:val="00C711E5"/>
    <w:rsid w:val="00C860A3"/>
    <w:rsid w:val="00C91CF6"/>
    <w:rsid w:val="00CB202C"/>
    <w:rsid w:val="00CD006E"/>
    <w:rsid w:val="00CD6030"/>
    <w:rsid w:val="00CF21CD"/>
    <w:rsid w:val="00D04FD9"/>
    <w:rsid w:val="00D154EF"/>
    <w:rsid w:val="00D15759"/>
    <w:rsid w:val="00D25DB8"/>
    <w:rsid w:val="00D41EAA"/>
    <w:rsid w:val="00D44EEE"/>
    <w:rsid w:val="00D47331"/>
    <w:rsid w:val="00D5368E"/>
    <w:rsid w:val="00D5638B"/>
    <w:rsid w:val="00D64CEC"/>
    <w:rsid w:val="00D71DA6"/>
    <w:rsid w:val="00D76CC7"/>
    <w:rsid w:val="00D81938"/>
    <w:rsid w:val="00D90ED1"/>
    <w:rsid w:val="00D929D9"/>
    <w:rsid w:val="00D92C2D"/>
    <w:rsid w:val="00DA6B59"/>
    <w:rsid w:val="00DB067D"/>
    <w:rsid w:val="00DB1B40"/>
    <w:rsid w:val="00DB4C11"/>
    <w:rsid w:val="00DB58B7"/>
    <w:rsid w:val="00DF552E"/>
    <w:rsid w:val="00DF593B"/>
    <w:rsid w:val="00E021FD"/>
    <w:rsid w:val="00E050D0"/>
    <w:rsid w:val="00E06AD6"/>
    <w:rsid w:val="00E17CC6"/>
    <w:rsid w:val="00E20810"/>
    <w:rsid w:val="00E26864"/>
    <w:rsid w:val="00E3412E"/>
    <w:rsid w:val="00E46838"/>
    <w:rsid w:val="00E523EF"/>
    <w:rsid w:val="00E653A0"/>
    <w:rsid w:val="00E66273"/>
    <w:rsid w:val="00E8398F"/>
    <w:rsid w:val="00E8731B"/>
    <w:rsid w:val="00E91E8F"/>
    <w:rsid w:val="00EA5B03"/>
    <w:rsid w:val="00EB0A90"/>
    <w:rsid w:val="00EB1B21"/>
    <w:rsid w:val="00EB7C63"/>
    <w:rsid w:val="00ED33AA"/>
    <w:rsid w:val="00ED6E7B"/>
    <w:rsid w:val="00EE74D0"/>
    <w:rsid w:val="00F11CE4"/>
    <w:rsid w:val="00F13B18"/>
    <w:rsid w:val="00F3707C"/>
    <w:rsid w:val="00F40D8E"/>
    <w:rsid w:val="00F4144B"/>
    <w:rsid w:val="00F415FA"/>
    <w:rsid w:val="00F41BD9"/>
    <w:rsid w:val="00F44CA1"/>
    <w:rsid w:val="00F4595D"/>
    <w:rsid w:val="00F547C7"/>
    <w:rsid w:val="00F562FA"/>
    <w:rsid w:val="00F96465"/>
    <w:rsid w:val="00FA6149"/>
    <w:rsid w:val="00FC0710"/>
    <w:rsid w:val="00FC086A"/>
    <w:rsid w:val="00FC2CD2"/>
    <w:rsid w:val="00FC577D"/>
    <w:rsid w:val="00FD71D8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B60"/>
  <w15:docId w15:val="{88EBD484-DC7F-B244-9157-8D47A0AB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F4C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C1C"/>
  </w:style>
  <w:style w:type="paragraph" w:styleId="Piedepgina">
    <w:name w:val="footer"/>
    <w:basedOn w:val="Normal"/>
    <w:link w:val="PiedepginaCar"/>
    <w:uiPriority w:val="99"/>
    <w:unhideWhenUsed/>
    <w:rsid w:val="009F4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C1C"/>
  </w:style>
  <w:style w:type="paragraph" w:styleId="Prrafodelista">
    <w:name w:val="List Paragraph"/>
    <w:basedOn w:val="Normal"/>
    <w:uiPriority w:val="34"/>
    <w:qFormat/>
    <w:rsid w:val="004206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1FE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1FE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5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3A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973A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A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erga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irates.com/ae/english/skywards/skywards-plus/subscrip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6ncrO3MJ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irates.com/ae/english/skywards/skywards-plus/subscrip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nAnfyvYq8bruNzzo/HEODjvaA==">AMUW2mWjjC22SeouE6+XE4To+NCgNNLq3JLZxGluVFJGRjzOn2zIm0nI77SH/tG1m8aRySFulD/WDJPiSHHJ/GhBj/264cKYVfDMFWoyzMglrNlf87j6t8BG9Y3x2Rwt1/1A2QSZ0N+wfwzgYrWYQQgGS4KmbViLwTaKQ0cL2m2T4LZto4eOquc=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SERGAT</dc:creator>
  <cp:lastModifiedBy> </cp:lastModifiedBy>
  <cp:revision>10</cp:revision>
  <dcterms:created xsi:type="dcterms:W3CDTF">2021-08-11T10:01:00Z</dcterms:created>
  <dcterms:modified xsi:type="dcterms:W3CDTF">2021-08-11T12:27:00Z</dcterms:modified>
</cp:coreProperties>
</file>