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Contacto:</w:t>
      </w:r>
    </w:p>
    <w:p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EMIRATES </w:t>
      </w:r>
    </w:p>
    <w:p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Sergat </w:t>
      </w:r>
    </w:p>
    <w:p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Tel.: 93 414 02 10</w:t>
      </w:r>
    </w:p>
    <w:p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E-mail: </w:t>
      </w:r>
      <w:hyperlink r:id="rId8">
        <w:r>
          <w:rPr>
            <w:rFonts w:ascii="Century Gothic" w:eastAsia="Century Gothic" w:hAnsi="Century Gothic" w:cs="Century Gothic"/>
            <w:color w:val="006699"/>
            <w:sz w:val="18"/>
            <w:szCs w:val="18"/>
          </w:rPr>
          <w:t>prensa@sergat.com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8"/>
          <w:szCs w:val="18"/>
        </w:rPr>
        <w:t xml:space="preserve"> </w:t>
      </w:r>
    </w:p>
    <w:p w:rsidR="003B31DD" w:rsidRDefault="003B31DD" w:rsidP="003B31D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3B31DD">
        <w:rPr>
          <w:rFonts w:ascii="Century Gothic" w:eastAsia="Century Gothic" w:hAnsi="Century Gothic" w:cs="Century Gothic"/>
          <w:b/>
          <w:color w:val="000000"/>
        </w:rPr>
        <w:t xml:space="preserve">Emirates </w:t>
      </w:r>
      <w:r w:rsidR="002331FE">
        <w:rPr>
          <w:rFonts w:ascii="Century Gothic" w:eastAsia="Century Gothic" w:hAnsi="Century Gothic" w:cs="Century Gothic"/>
          <w:b/>
          <w:color w:val="000000"/>
        </w:rPr>
        <w:t>lanza</w:t>
      </w:r>
      <w:r w:rsidRPr="003B31DD">
        <w:rPr>
          <w:rFonts w:ascii="Century Gothic" w:eastAsia="Century Gothic" w:hAnsi="Century Gothic" w:cs="Century Gothic"/>
          <w:b/>
          <w:color w:val="000000"/>
        </w:rPr>
        <w:t xml:space="preserve"> más ofertas en Dubái para sus clientes durante la Expo 2020</w:t>
      </w:r>
    </w:p>
    <w:p w:rsidR="0055203C" w:rsidRPr="00640ED1" w:rsidRDefault="0055203C" w:rsidP="00640ED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</w:pPr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Entrada gratuita al Dub</w:t>
      </w:r>
      <w:r w:rsidR="004F255A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a</w:t>
      </w:r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 xml:space="preserve">i </w:t>
      </w:r>
      <w:proofErr w:type="spellStart"/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Frame</w:t>
      </w:r>
      <w:proofErr w:type="spellEnd"/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 xml:space="preserve"> y ofertas exclusivas en más de 450 locales de Dubái y los EAU cuando los clientes </w:t>
      </w:r>
      <w:r w:rsidR="004F255A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muestren</w:t>
      </w:r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 xml:space="preserve"> su tarjeta de embarque de Emirates</w:t>
      </w:r>
    </w:p>
    <w:p w:rsidR="0055203C" w:rsidRPr="00640ED1" w:rsidRDefault="0055203C" w:rsidP="00640ED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</w:pPr>
      <w:r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Atractivos paquetes hoteleros en Dubái para los viajeros que busquen experiencias en la playa, la ciudad o el desierto</w:t>
      </w:r>
    </w:p>
    <w:p w:rsidR="0055203C" w:rsidRPr="00640ED1" w:rsidRDefault="004F255A" w:rsidP="00640ED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Para los visitantes de la Expo 2020 que lo necesiten, p</w:t>
      </w:r>
      <w:r w:rsidR="0055203C" w:rsidRPr="00640ED1">
        <w:rPr>
          <w:rFonts w:ascii="Century Gothic" w:eastAsia="Century Gothic" w:hAnsi="Century Gothic" w:cs="Century Gothic"/>
          <w:bCs/>
          <w:i/>
          <w:iCs/>
          <w:color w:val="000000"/>
          <w:sz w:val="22"/>
          <w:szCs w:val="22"/>
        </w:rPr>
        <w:t>ruebas de PCR gratuitas a su llegada a Dubái</w:t>
      </w:r>
    </w:p>
    <w:p w:rsidR="0055203C" w:rsidRPr="0055203C" w:rsidRDefault="003B7047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Dubái, EAU, </w:t>
      </w:r>
      <w:r w:rsidR="00640ED1">
        <w:rPr>
          <w:rStyle w:val="Textoennegrita"/>
          <w:rFonts w:ascii="Century Gothic" w:hAnsi="Century Gothic" w:cs="Helvetica"/>
          <w:sz w:val="22"/>
          <w:szCs w:val="22"/>
          <w:lang w:val="es-ES"/>
        </w:rPr>
        <w:t>1</w:t>
      </w:r>
      <w:r w:rsidR="00DF1ECD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8107D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>de</w:t>
      </w:r>
      <w:r w:rsidR="0015796E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640ED1">
        <w:rPr>
          <w:rStyle w:val="Textoennegrita"/>
          <w:rFonts w:ascii="Century Gothic" w:hAnsi="Century Gothic" w:cs="Helvetica"/>
          <w:sz w:val="22"/>
          <w:szCs w:val="22"/>
          <w:lang w:val="es-ES"/>
        </w:rPr>
        <w:t>octubre</w:t>
      </w:r>
      <w:r w:rsidR="00F3707C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de</w:t>
      </w:r>
      <w:r w:rsidR="00F13B18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202</w:t>
      </w:r>
      <w:r w:rsidR="00D64CEC" w:rsidRPr="003061C0">
        <w:rPr>
          <w:rStyle w:val="Textoennegrita"/>
          <w:rFonts w:ascii="Century Gothic" w:hAnsi="Century Gothic" w:cs="Helvetica"/>
          <w:sz w:val="22"/>
          <w:szCs w:val="22"/>
          <w:lang w:val="es-ES"/>
        </w:rPr>
        <w:t>1</w:t>
      </w:r>
      <w:r w:rsidR="00981F90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-</w:t>
      </w:r>
      <w:r w:rsidR="00F13B18" w:rsidRPr="003061C0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>Durante los seis meses que dura la Expo</w:t>
      </w:r>
      <w:r w:rsidR="0055203C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>2020</w:t>
      </w:r>
      <w:r w:rsidR="00981F90">
        <w:rPr>
          <w:rFonts w:ascii="Century Gothic" w:hAnsi="Century Gothic" w:cs="Helvetica"/>
          <w:sz w:val="22"/>
          <w:szCs w:val="22"/>
          <w:lang w:val="es-ES"/>
        </w:rPr>
        <w:t xml:space="preserve"> de Dubái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 xml:space="preserve">, Emirates está </w:t>
      </w:r>
      <w:r w:rsidR="00C87010">
        <w:rPr>
          <w:rFonts w:ascii="Century Gothic" w:hAnsi="Century Gothic" w:cs="Helvetica"/>
          <w:sz w:val="22"/>
          <w:szCs w:val="22"/>
          <w:lang w:val="es-ES"/>
        </w:rPr>
        <w:t>lanzando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 xml:space="preserve"> aún más ofertas para todos sus pasajeros que lleguen o hagan escala en Dubái.</w:t>
      </w:r>
      <w:r w:rsidR="0055203C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>Simplemente mostrando su tarjeta de embarque, los clientes de Emirates pueden disfrutar de acceso gratuito al Dub</w:t>
      </w:r>
      <w:r w:rsidR="00C87010">
        <w:rPr>
          <w:rFonts w:ascii="Century Gothic" w:hAnsi="Century Gothic" w:cs="Helvetica"/>
          <w:sz w:val="22"/>
          <w:szCs w:val="22"/>
          <w:lang w:val="es-ES"/>
        </w:rPr>
        <w:t>a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 xml:space="preserve">i Frame, una de las atracciones icónicas de la ciudad que ofrece una vista panorámica del viejo y el nuevo Dubái. Además, la tarjeta de embarque de Emirates permite a los clientes disfrutar de atractivos descuentos y ventajas en más de 500 comercios, restaurantes y atracciones de ocio en todo Dubái y los EAU. Los detalles de las ofertas pueden encontrarse en </w:t>
      </w:r>
      <w:hyperlink r:id="rId9" w:history="1">
        <w:r w:rsidR="0055203C" w:rsidRPr="0002704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www.emirates.com/myemiratespass</w:t>
        </w:r>
      </w:hyperlink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>.</w:t>
      </w:r>
      <w:r w:rsidR="0055203C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5203C" w:rsidRPr="0055203C">
        <w:rPr>
          <w:rFonts w:ascii="Century Gothic" w:hAnsi="Century Gothic" w:cs="Helvetica"/>
          <w:sz w:val="22"/>
          <w:szCs w:val="22"/>
          <w:lang w:val="es-ES"/>
        </w:rPr>
        <w:t xml:space="preserve">  </w:t>
      </w:r>
    </w:p>
    <w:p w:rsidR="0055203C" w:rsidRPr="0055203C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Los clientes de Emirates que lleguen a Dubái o hagan </w:t>
      </w:r>
      <w:r w:rsidR="00C87010">
        <w:rPr>
          <w:rFonts w:ascii="Century Gothic" w:hAnsi="Century Gothic" w:cs="Helvetica"/>
          <w:sz w:val="22"/>
          <w:szCs w:val="22"/>
          <w:lang w:val="es-ES"/>
        </w:rPr>
        <w:t>escala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pueden añadir fácilmente una estancia en un hotel para explorar una de las ciudades </w:t>
      </w:r>
      <w:r w:rsidR="00C87010">
        <w:rPr>
          <w:rFonts w:ascii="Century Gothic" w:hAnsi="Century Gothic" w:cs="Helvetica"/>
          <w:sz w:val="22"/>
          <w:szCs w:val="22"/>
          <w:lang w:val="es-ES"/>
        </w:rPr>
        <w:t>internacionales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más dinámicas del mundo. Emirates ofrece a sus clientes una amplia gama de estancias en hoteles y apartamentos con más de 100 opciones de alojamiento. Esto incluye un registro exclusivo de 24 horas, desayuno gratuito, tarifas especiales para excursiones y </w:t>
      </w:r>
      <w:hyperlink r:id="rId10" w:history="1">
        <w:r w:rsidRPr="009E4AA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mucho más</w:t>
        </w:r>
      </w:hyperlink>
      <w:r w:rsidRPr="0055203C">
        <w:rPr>
          <w:rFonts w:ascii="Century Gothic" w:hAnsi="Century Gothic" w:cs="Helvetica"/>
          <w:sz w:val="22"/>
          <w:szCs w:val="22"/>
          <w:lang w:val="es-ES"/>
        </w:rPr>
        <w:t>. Los clientes pueden reservar estas estancias en hoteles de Emirates</w:t>
      </w:r>
      <w:r w:rsidR="00C87010">
        <w:rPr>
          <w:rFonts w:ascii="Century Gothic" w:hAnsi="Century Gothic" w:cs="Helvetica"/>
          <w:sz w:val="22"/>
          <w:szCs w:val="22"/>
          <w:lang w:val="es-ES"/>
        </w:rPr>
        <w:t xml:space="preserve"> en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Dubái a través de su agencia de viajes.</w:t>
      </w:r>
      <w:r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Tanto si se explora Dubái en solitario como en familia, si se busca una escapada a la ciudad, a la playa o una experiencia única en el desierto, </w:t>
      </w:r>
      <w:r w:rsidR="0084401A">
        <w:rPr>
          <w:rFonts w:ascii="Century Gothic" w:hAnsi="Century Gothic" w:cs="Helvetica"/>
          <w:sz w:val="22"/>
          <w:szCs w:val="22"/>
          <w:lang w:val="es-ES"/>
        </w:rPr>
        <w:t xml:space="preserve">siempre 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>hay algo</w:t>
      </w:r>
      <w:r w:rsidR="0084401A">
        <w:rPr>
          <w:rFonts w:ascii="Century Gothic" w:hAnsi="Century Gothic" w:cs="Helvetica"/>
          <w:sz w:val="22"/>
          <w:szCs w:val="22"/>
          <w:lang w:val="es-ES"/>
        </w:rPr>
        <w:t xml:space="preserve"> especial adaptado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84401A">
        <w:rPr>
          <w:rFonts w:ascii="Century Gothic" w:hAnsi="Century Gothic" w:cs="Helvetica"/>
          <w:sz w:val="22"/>
          <w:szCs w:val="22"/>
          <w:lang w:val="es-ES"/>
        </w:rPr>
        <w:t>a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todos los bolsillos. </w:t>
      </w:r>
    </w:p>
    <w:p w:rsidR="008D7C1F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Dubái es el </w:t>
      </w:r>
      <w:r w:rsidR="0084401A" w:rsidRPr="0084401A">
        <w:rPr>
          <w:rFonts w:ascii="Century Gothic" w:hAnsi="Century Gothic" w:cs="Helvetica"/>
          <w:i/>
          <w:iCs/>
          <w:sz w:val="22"/>
          <w:szCs w:val="22"/>
          <w:lang w:val="es-ES"/>
        </w:rPr>
        <w:t>place to be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esta temporada de invierno. Además de un emocionante calendario de eventos culturales y deportivos de talla mundial, </w:t>
      </w:r>
      <w:r w:rsidR="008D7C1F">
        <w:rPr>
          <w:rFonts w:ascii="Century Gothic" w:hAnsi="Century Gothic" w:cs="Helvetica"/>
          <w:sz w:val="22"/>
          <w:szCs w:val="22"/>
          <w:lang w:val="es-ES"/>
        </w:rPr>
        <w:t xml:space="preserve">la ciudad 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será la sede mundial de la Expo 2020 entre octubre de 2021 y marzo de 2022. Como socio principal y aerolínea oficial de la </w:t>
      </w:r>
      <w:r w:rsidR="0084401A" w:rsidRPr="0055203C">
        <w:rPr>
          <w:rFonts w:ascii="Century Gothic" w:hAnsi="Century Gothic" w:cs="Helvetica"/>
          <w:sz w:val="22"/>
          <w:szCs w:val="22"/>
          <w:lang w:val="es-ES"/>
        </w:rPr>
        <w:t>Expo</w:t>
      </w:r>
      <w:r w:rsidR="0084401A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84401A" w:rsidRPr="0055203C">
        <w:rPr>
          <w:rFonts w:ascii="Century Gothic" w:hAnsi="Century Gothic" w:cs="Helvetica"/>
          <w:sz w:val="22"/>
          <w:szCs w:val="22"/>
          <w:lang w:val="es-ES"/>
        </w:rPr>
        <w:t>2020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, Emirates espera 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atraer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visitantes al evento a través de su red de rutas que conecta más de 120 destinos con </w:t>
      </w:r>
      <w:r w:rsidR="008D7C1F" w:rsidRPr="0055203C">
        <w:rPr>
          <w:rFonts w:ascii="Century Gothic" w:hAnsi="Century Gothic" w:cs="Helvetica"/>
          <w:sz w:val="22"/>
          <w:szCs w:val="22"/>
          <w:lang w:val="es-ES"/>
        </w:rPr>
        <w:t>Dubái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. </w:t>
      </w:r>
    </w:p>
    <w:p w:rsidR="008D7C1F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Los visitantes de la Expo 2020 mayores de 18 años deben estar completamente vacunados contra 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la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COVID-19, y los visitantes no vacunados deben tener una prueba de PCR negativa tomada en un plazo de 72 horas. Para más información: </w:t>
      </w:r>
      <w:hyperlink r:id="rId11" w:history="1">
        <w:r w:rsidR="008D7C1F" w:rsidRPr="0002704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https://www.expo2020dubai.com/en/news/safety-and-responsibility-measures</w:t>
        </w:r>
      </w:hyperlink>
      <w:r w:rsidR="0082726D">
        <w:rPr>
          <w:rFonts w:ascii="Century Gothic" w:hAnsi="Century Gothic" w:cs="Helvetica"/>
          <w:sz w:val="22"/>
          <w:szCs w:val="22"/>
          <w:lang w:val="es-ES"/>
        </w:rPr>
        <w:t>.</w:t>
      </w:r>
    </w:p>
    <w:p w:rsidR="008D7C1F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Emirates ofrece a los visitantes de la Expo 2020 una prueba PCR gratuita a su llegada a </w:t>
      </w:r>
      <w:r w:rsidR="008D7C1F" w:rsidRPr="0055203C">
        <w:rPr>
          <w:rFonts w:ascii="Century Gothic" w:hAnsi="Century Gothic" w:cs="Helvetica"/>
          <w:sz w:val="22"/>
          <w:szCs w:val="22"/>
          <w:lang w:val="es-ES"/>
        </w:rPr>
        <w:t>Dubái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>. Los clientes s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o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lo tienen que mostrar su pase de la Expo 2020 para beneficiarse de un 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test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gratuit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o</w:t>
      </w: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 en una sala de pruebas instalada en el vestíbulo de llegadas de la Terminal 3 del aeropuerto. La prueba de PCR gratuita también está disponible en una instalación situada junto al recinto de la Expo 2020.</w:t>
      </w:r>
    </w:p>
    <w:p w:rsidR="0055203C" w:rsidRPr="0055203C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>Las promociones especiales actuales de Emirates incluyen</w:t>
      </w:r>
      <w:r w:rsidR="0082726D">
        <w:rPr>
          <w:rFonts w:ascii="Century Gothic" w:hAnsi="Century Gothic" w:cs="Helvetica"/>
          <w:sz w:val="22"/>
          <w:szCs w:val="22"/>
          <w:lang w:val="es-ES"/>
        </w:rPr>
        <w:t>:</w:t>
      </w:r>
    </w:p>
    <w:p w:rsidR="00EF5B59" w:rsidRDefault="009E4AA9" w:rsidP="009E4AA9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>
        <w:rPr>
          <w:rFonts w:ascii="Century Gothic" w:hAnsi="Century Gothic" w:cs="Helvetica"/>
          <w:b/>
          <w:bCs/>
          <w:sz w:val="22"/>
          <w:szCs w:val="22"/>
          <w:lang w:val="es-ES"/>
        </w:rPr>
        <w:t>-</w:t>
      </w:r>
      <w:r w:rsidR="0055203C" w:rsidRPr="009E4AA9">
        <w:rPr>
          <w:rFonts w:ascii="Century Gothic" w:hAnsi="Century Gothic" w:cs="Helvetica"/>
          <w:b/>
          <w:bCs/>
          <w:sz w:val="22"/>
          <w:szCs w:val="22"/>
          <w:lang w:val="es-ES"/>
        </w:rPr>
        <w:t>Pase de un día gratuito para la Expo de Emirates: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>
        <w:rPr>
          <w:rFonts w:ascii="Century Gothic" w:hAnsi="Century Gothic" w:cs="Helvetica"/>
          <w:sz w:val="22"/>
          <w:szCs w:val="22"/>
          <w:lang w:val="es-ES"/>
        </w:rPr>
        <w:t>l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>os clientes de Emirates que visiten y viajen por Dubái en cualquier momento durante el esperado mega</w:t>
      </w:r>
      <w:r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evento de la Expo 2020 podrán recibir un Emirates Expo Day Pass gratuito por cada billete de avión reservado con la aerolínea. Para más información sobre esta promoción, visite la </w:t>
      </w:r>
      <w:hyperlink r:id="rId12" w:history="1">
        <w:r w:rsidR="0055203C" w:rsidRPr="009E4AA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página de la oferta</w:t>
        </w:r>
      </w:hyperlink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. </w:t>
      </w:r>
    </w:p>
    <w:p w:rsidR="0055203C" w:rsidRPr="009E4AA9" w:rsidRDefault="0055203C" w:rsidP="009E4AA9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</w:p>
    <w:p w:rsidR="0055203C" w:rsidRPr="009E4AA9" w:rsidRDefault="009E4AA9" w:rsidP="009E4AA9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>
        <w:rPr>
          <w:rFonts w:ascii="Century Gothic" w:hAnsi="Century Gothic" w:cs="Helvetica"/>
          <w:b/>
          <w:bCs/>
          <w:sz w:val="22"/>
          <w:szCs w:val="22"/>
          <w:lang w:val="es-ES"/>
        </w:rPr>
        <w:t>-</w:t>
      </w:r>
      <w:r w:rsidR="0055203C" w:rsidRPr="009E4AA9">
        <w:rPr>
          <w:rFonts w:ascii="Century Gothic" w:hAnsi="Century Gothic" w:cs="Helvetica"/>
          <w:b/>
          <w:bCs/>
          <w:sz w:val="22"/>
          <w:szCs w:val="22"/>
          <w:lang w:val="es-ES"/>
        </w:rPr>
        <w:t xml:space="preserve">Gane una milla por minuto en </w:t>
      </w:r>
      <w:r w:rsidR="008D7C1F" w:rsidRPr="009E4AA9">
        <w:rPr>
          <w:rFonts w:ascii="Century Gothic" w:hAnsi="Century Gothic" w:cs="Helvetica"/>
          <w:b/>
          <w:bCs/>
          <w:sz w:val="22"/>
          <w:szCs w:val="22"/>
          <w:lang w:val="es-ES"/>
        </w:rPr>
        <w:t>Dubái</w:t>
      </w:r>
      <w:r w:rsidR="0055203C" w:rsidRPr="009E4AA9">
        <w:rPr>
          <w:rFonts w:ascii="Century Gothic" w:hAnsi="Century Gothic" w:cs="Helvetica"/>
          <w:b/>
          <w:bCs/>
          <w:sz w:val="22"/>
          <w:szCs w:val="22"/>
          <w:lang w:val="es-ES"/>
        </w:rPr>
        <w:t>: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>
        <w:rPr>
          <w:rFonts w:ascii="Century Gothic" w:hAnsi="Century Gothic" w:cs="Helvetica"/>
          <w:sz w:val="22"/>
          <w:szCs w:val="22"/>
          <w:lang w:val="es-ES"/>
        </w:rPr>
        <w:t>l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os clientes de Emirates pueden ganar 1 milla Skywards por cada minuto que pasen en Dubái entre el 1 de octubre de 2021 y el 31 de marzo de 2022. Los socios actuales y nuevos de Emirates Skywards que se inscriban en el programa antes del 31 de marzo de 2022 pueden aprovechar la oferta en </w:t>
      </w:r>
      <w:hyperlink r:id="rId13" w:history="1">
        <w:r w:rsidRPr="009E4AA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e</w:t>
        </w:r>
        <w:r w:rsidR="0055203C" w:rsidRPr="009E4AA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mirates.com</w:t>
        </w:r>
      </w:hyperlink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, y ganarán hasta 5000 </w:t>
      </w:r>
      <w:r>
        <w:rPr>
          <w:rFonts w:ascii="Century Gothic" w:hAnsi="Century Gothic" w:cs="Helvetica"/>
          <w:sz w:val="22"/>
          <w:szCs w:val="22"/>
          <w:lang w:val="es-ES"/>
        </w:rPr>
        <w:t>m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illas. La oferta es aplicable a todos los billetes de avión de Emirates comprados entre el 1 de agosto de 2021 y el 31 de marzo de 2022, para viajar durante la Expo 2020 de </w:t>
      </w:r>
      <w:r w:rsidR="008D7C1F" w:rsidRPr="009E4AA9">
        <w:rPr>
          <w:rFonts w:ascii="Century Gothic" w:hAnsi="Century Gothic" w:cs="Helvetica"/>
          <w:sz w:val="22"/>
          <w:szCs w:val="22"/>
          <w:lang w:val="es-ES"/>
        </w:rPr>
        <w:t>Dubái</w:t>
      </w:r>
      <w:r w:rsidR="0055203C" w:rsidRPr="009E4AA9">
        <w:rPr>
          <w:rFonts w:ascii="Century Gothic" w:hAnsi="Century Gothic" w:cs="Helvetica"/>
          <w:sz w:val="22"/>
          <w:szCs w:val="22"/>
          <w:lang w:val="es-ES"/>
        </w:rPr>
        <w:t xml:space="preserve">. Los vuelos comercializados por Emirates y operados por flydubai con un número de vuelo de Emirates (EK) también están incluidos en la oferta. </w:t>
      </w:r>
    </w:p>
    <w:p w:rsidR="0055203C" w:rsidRDefault="0055203C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55203C">
        <w:rPr>
          <w:rFonts w:ascii="Century Gothic" w:hAnsi="Century Gothic" w:cs="Helvetica"/>
          <w:sz w:val="22"/>
          <w:szCs w:val="22"/>
          <w:lang w:val="es-ES"/>
        </w:rPr>
        <w:t xml:space="preserve">Con la reapertura de las fronteras internacionales y la reducción de las restricciones de viaje, Emirates ha reanudado los servicios de pasajeros a más de 120 </w:t>
      </w:r>
      <w:r w:rsidR="00204E6D">
        <w:rPr>
          <w:rFonts w:ascii="Century Gothic" w:hAnsi="Century Gothic" w:cs="Helvetica"/>
          <w:sz w:val="22"/>
          <w:szCs w:val="22"/>
          <w:lang w:val="es-ES"/>
        </w:rPr>
        <w:t>destinos, entre ellos, Madrid y Barcelona en España</w:t>
      </w:r>
      <w:r w:rsidR="009E4AA9">
        <w:rPr>
          <w:rFonts w:ascii="Century Gothic" w:hAnsi="Century Gothic" w:cs="Helvetica"/>
          <w:sz w:val="22"/>
          <w:szCs w:val="22"/>
          <w:lang w:val="es-ES"/>
        </w:rPr>
        <w:t>.</w:t>
      </w:r>
    </w:p>
    <w:p w:rsidR="008D7C1F" w:rsidRPr="008D7C1F" w:rsidRDefault="008D7C1F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8D7C1F">
        <w:rPr>
          <w:rFonts w:ascii="Century Gothic" w:hAnsi="Century Gothic" w:cs="Helvetica"/>
          <w:b/>
          <w:bCs/>
          <w:sz w:val="22"/>
          <w:szCs w:val="22"/>
          <w:lang w:val="es-ES"/>
        </w:rPr>
        <w:t>Viajar con Emirates</w:t>
      </w:r>
    </w:p>
    <w:p w:rsidR="008D7C1F" w:rsidRPr="008D7C1F" w:rsidRDefault="008D7C1F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8D7C1F">
        <w:rPr>
          <w:rFonts w:ascii="Century Gothic" w:hAnsi="Century Gothic" w:cs="Helvetica"/>
          <w:b/>
          <w:bCs/>
          <w:sz w:val="22"/>
          <w:szCs w:val="22"/>
          <w:lang w:val="es-ES"/>
        </w:rPr>
        <w:t>Salud y bienestar</w:t>
      </w:r>
      <w:r w:rsidRPr="008D7C1F">
        <w:rPr>
          <w:rFonts w:ascii="Century Gothic" w:hAnsi="Century Gothic" w:cs="Helvetica"/>
          <w:sz w:val="22"/>
          <w:szCs w:val="22"/>
          <w:lang w:val="es-ES"/>
        </w:rPr>
        <w:t xml:space="preserve">: </w:t>
      </w:r>
      <w:r w:rsidR="009E4AA9">
        <w:rPr>
          <w:rFonts w:ascii="Century Gothic" w:hAnsi="Century Gothic" w:cs="Helvetica"/>
          <w:sz w:val="22"/>
          <w:szCs w:val="22"/>
          <w:lang w:val="es-ES"/>
        </w:rPr>
        <w:t>m</w:t>
      </w:r>
      <w:r w:rsidRPr="008D7C1F">
        <w:rPr>
          <w:rFonts w:ascii="Century Gothic" w:hAnsi="Century Gothic" w:cs="Helvetica"/>
          <w:sz w:val="22"/>
          <w:szCs w:val="22"/>
          <w:lang w:val="es-ES"/>
        </w:rPr>
        <w:t xml:space="preserve">anteniendo la salud y el bienestar de sus pasajeros como máxima prioridad, Emirates ha introducido un amplio conjunto de medidas de seguridad en cada </w:t>
      </w:r>
      <w:r w:rsidR="009E4AA9">
        <w:rPr>
          <w:rFonts w:ascii="Century Gothic" w:hAnsi="Century Gothic" w:cs="Helvetica"/>
          <w:sz w:val="22"/>
          <w:szCs w:val="22"/>
          <w:lang w:val="es-ES"/>
        </w:rPr>
        <w:t>etapa</w:t>
      </w:r>
      <w:r w:rsidRPr="008D7C1F">
        <w:rPr>
          <w:rFonts w:ascii="Century Gothic" w:hAnsi="Century Gothic" w:cs="Helvetica"/>
          <w:sz w:val="22"/>
          <w:szCs w:val="22"/>
          <w:lang w:val="es-ES"/>
        </w:rPr>
        <w:t xml:space="preserve"> del viaje. La aerolínea también ha introducido recientemente la tecnología sin contacto y ha ampliado sus capacidades de verificación digital para ofrecer a sus clientes aún más oportunidades de utilizar el IATA Travel Pass este verano.</w:t>
      </w:r>
    </w:p>
    <w:p w:rsidR="00EF5B59" w:rsidRDefault="008D7C1F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8D7C1F">
        <w:rPr>
          <w:rFonts w:ascii="Century Gothic" w:hAnsi="Century Gothic" w:cs="Helvetica"/>
          <w:b/>
          <w:bCs/>
          <w:sz w:val="22"/>
          <w:szCs w:val="22"/>
          <w:lang w:val="es-ES"/>
        </w:rPr>
        <w:t>Garantía de viaje:</w:t>
      </w:r>
      <w:r w:rsidRPr="008D7C1F">
        <w:rPr>
          <w:rFonts w:ascii="Century Gothic" w:hAnsi="Century Gothic" w:cs="Helvetica"/>
          <w:sz w:val="22"/>
          <w:szCs w:val="22"/>
          <w:lang w:val="es-ES"/>
        </w:rPr>
        <w:t xml:space="preserve"> Emirates sigue liderando el sector con productos y servicios innovadores que responden a las necesidades de los viajeros en un momento </w:t>
      </w:r>
      <w:r w:rsidR="009E4AA9">
        <w:rPr>
          <w:rFonts w:ascii="Century Gothic" w:hAnsi="Century Gothic" w:cs="Helvetica"/>
          <w:sz w:val="22"/>
          <w:szCs w:val="22"/>
          <w:lang w:val="es-ES"/>
        </w:rPr>
        <w:t>cambiante</w:t>
      </w:r>
      <w:r w:rsidRPr="008D7C1F">
        <w:rPr>
          <w:rFonts w:ascii="Century Gothic" w:hAnsi="Century Gothic" w:cs="Helvetica"/>
          <w:sz w:val="22"/>
          <w:szCs w:val="22"/>
          <w:lang w:val="es-ES"/>
        </w:rPr>
        <w:t>. La aerolínea ha ampliado sus iniciativas de atención al cliente con políticas de reserva aún más generosas y flexibles, una ampliación de su cobertura de seguro multirriesgo y la ayuda a los clientes fieles para que conserven sus millas y su categoría.</w:t>
      </w:r>
    </w:p>
    <w:p w:rsidR="00EF5B59" w:rsidRDefault="00EF5B59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</w:p>
    <w:p w:rsidR="008D7C1F" w:rsidRPr="008D7C1F" w:rsidRDefault="008D7C1F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</w:p>
    <w:p w:rsidR="008D7C1F" w:rsidRDefault="008D7C1F" w:rsidP="00640ED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8D7C1F">
        <w:rPr>
          <w:rFonts w:ascii="Century Gothic" w:hAnsi="Century Gothic" w:cs="Helvetica"/>
          <w:sz w:val="22"/>
          <w:szCs w:val="22"/>
          <w:lang w:val="es-ES"/>
        </w:rPr>
        <w:t xml:space="preserve">Se recomienda a los clientes que comprueben las últimas restricciones gubernamentales para viajar en su país de origen y se aseguren de que cumplen los requisitos de viaje de su destino final. Para más información sobre los requisitos de entrada para los visitantes internacionales a Dubái, visite: </w:t>
      </w:r>
      <w:hyperlink r:id="rId14" w:history="1">
        <w:r w:rsidRPr="00027049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https://www.emirates.com/english/help/covid-19/dubai-travel-requirements/</w:t>
        </w:r>
      </w:hyperlink>
      <w:r w:rsidR="009E4AA9">
        <w:rPr>
          <w:rFonts w:ascii="Century Gothic" w:hAnsi="Century Gothic" w:cs="Helvetica"/>
          <w:sz w:val="22"/>
          <w:szCs w:val="22"/>
          <w:lang w:val="es-ES"/>
        </w:rPr>
        <w:t>.</w:t>
      </w:r>
    </w:p>
    <w:p w:rsidR="0055203C" w:rsidRDefault="0055203C" w:rsidP="0055203C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rFonts w:ascii="Century Gothic" w:hAnsi="Century Gothic" w:cs="Helvetica"/>
          <w:sz w:val="22"/>
          <w:szCs w:val="22"/>
          <w:lang w:val="es-ES"/>
        </w:rPr>
      </w:pPr>
    </w:p>
    <w:p w:rsidR="00AB00E8" w:rsidRPr="008227EF" w:rsidRDefault="00AB00E8" w:rsidP="00781D0B">
      <w:pPr>
        <w:spacing w:before="180" w:after="180"/>
        <w:jc w:val="both"/>
        <w:rPr>
          <w:lang w:val="es-AR" w:eastAsia="es-AR"/>
        </w:rPr>
      </w:pPr>
    </w:p>
    <w:sectPr w:rsidR="00AB00E8" w:rsidRPr="008227EF" w:rsidSect="00D154EF">
      <w:headerReference w:type="default" r:id="rId15"/>
      <w:pgSz w:w="11900" w:h="16840"/>
      <w:pgMar w:top="1417" w:right="1268" w:bottom="734" w:left="1276" w:header="708" w:footer="708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75CBE" w:rsidRDefault="00575CBE">
      <w:r>
        <w:separator/>
      </w:r>
    </w:p>
  </w:endnote>
  <w:endnote w:type="continuationSeparator" w:id="1">
    <w:p w:rsidR="00575CBE" w:rsidRDefault="0057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75CBE" w:rsidRDefault="00575CBE">
      <w:r>
        <w:separator/>
      </w:r>
    </w:p>
  </w:footnote>
  <w:footnote w:type="continuationSeparator" w:id="1">
    <w:p w:rsidR="00575CBE" w:rsidRDefault="00575CB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3275" cy="14306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27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:rsidR="00A11FFC" w:rsidRDefault="00A11FFC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5E2E88"/>
    <w:multiLevelType w:val="hybridMultilevel"/>
    <w:tmpl w:val="A0F0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74CA"/>
    <w:multiLevelType w:val="hybridMultilevel"/>
    <w:tmpl w:val="9170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E8"/>
    <w:rsid w:val="00000C63"/>
    <w:rsid w:val="0000502E"/>
    <w:rsid w:val="00022E2F"/>
    <w:rsid w:val="00035C35"/>
    <w:rsid w:val="00040619"/>
    <w:rsid w:val="0005154A"/>
    <w:rsid w:val="000526AD"/>
    <w:rsid w:val="00053F1E"/>
    <w:rsid w:val="000549E0"/>
    <w:rsid w:val="00074E09"/>
    <w:rsid w:val="000820BE"/>
    <w:rsid w:val="00084F06"/>
    <w:rsid w:val="00093F7C"/>
    <w:rsid w:val="000C001D"/>
    <w:rsid w:val="000C416A"/>
    <w:rsid w:val="000C7474"/>
    <w:rsid w:val="000D3FCD"/>
    <w:rsid w:val="000D5E02"/>
    <w:rsid w:val="000D6B07"/>
    <w:rsid w:val="000E1C01"/>
    <w:rsid w:val="000E2CD7"/>
    <w:rsid w:val="000F3320"/>
    <w:rsid w:val="00101B2A"/>
    <w:rsid w:val="0011390D"/>
    <w:rsid w:val="001171CE"/>
    <w:rsid w:val="00125613"/>
    <w:rsid w:val="00125F42"/>
    <w:rsid w:val="00133397"/>
    <w:rsid w:val="0013526B"/>
    <w:rsid w:val="001438D1"/>
    <w:rsid w:val="00155AF3"/>
    <w:rsid w:val="00156851"/>
    <w:rsid w:val="0015796E"/>
    <w:rsid w:val="001A172C"/>
    <w:rsid w:val="001A2E48"/>
    <w:rsid w:val="001C5A2C"/>
    <w:rsid w:val="001C5D5C"/>
    <w:rsid w:val="001F5943"/>
    <w:rsid w:val="001F6558"/>
    <w:rsid w:val="00204E6D"/>
    <w:rsid w:val="0020696C"/>
    <w:rsid w:val="00210E19"/>
    <w:rsid w:val="00216402"/>
    <w:rsid w:val="00222340"/>
    <w:rsid w:val="00222BCA"/>
    <w:rsid w:val="0022765D"/>
    <w:rsid w:val="00230AC3"/>
    <w:rsid w:val="002310D5"/>
    <w:rsid w:val="00232973"/>
    <w:rsid w:val="002331FE"/>
    <w:rsid w:val="00245731"/>
    <w:rsid w:val="00246D23"/>
    <w:rsid w:val="00252883"/>
    <w:rsid w:val="00254A44"/>
    <w:rsid w:val="00260BB1"/>
    <w:rsid w:val="00263B40"/>
    <w:rsid w:val="0027266F"/>
    <w:rsid w:val="0027752E"/>
    <w:rsid w:val="002835AB"/>
    <w:rsid w:val="00284D22"/>
    <w:rsid w:val="00294828"/>
    <w:rsid w:val="002A2FA7"/>
    <w:rsid w:val="002D39D3"/>
    <w:rsid w:val="002E53A8"/>
    <w:rsid w:val="002F02D6"/>
    <w:rsid w:val="002F11A3"/>
    <w:rsid w:val="00303782"/>
    <w:rsid w:val="003061C0"/>
    <w:rsid w:val="00314757"/>
    <w:rsid w:val="0031552A"/>
    <w:rsid w:val="0031590A"/>
    <w:rsid w:val="00316359"/>
    <w:rsid w:val="00324CA2"/>
    <w:rsid w:val="00327CCE"/>
    <w:rsid w:val="003308E5"/>
    <w:rsid w:val="0033101B"/>
    <w:rsid w:val="003350C0"/>
    <w:rsid w:val="00340B90"/>
    <w:rsid w:val="003528C6"/>
    <w:rsid w:val="00353F1E"/>
    <w:rsid w:val="0035696E"/>
    <w:rsid w:val="003636BD"/>
    <w:rsid w:val="0036455D"/>
    <w:rsid w:val="003678F3"/>
    <w:rsid w:val="003709A2"/>
    <w:rsid w:val="00373710"/>
    <w:rsid w:val="00377787"/>
    <w:rsid w:val="003820FF"/>
    <w:rsid w:val="00382677"/>
    <w:rsid w:val="003B31DD"/>
    <w:rsid w:val="003B3CA5"/>
    <w:rsid w:val="003B7047"/>
    <w:rsid w:val="003C0187"/>
    <w:rsid w:val="003D58E1"/>
    <w:rsid w:val="003E4645"/>
    <w:rsid w:val="003E4BFA"/>
    <w:rsid w:val="003F1348"/>
    <w:rsid w:val="003F7E3A"/>
    <w:rsid w:val="00402A79"/>
    <w:rsid w:val="00402B60"/>
    <w:rsid w:val="00414969"/>
    <w:rsid w:val="00415A1C"/>
    <w:rsid w:val="00437023"/>
    <w:rsid w:val="00456D76"/>
    <w:rsid w:val="004767F9"/>
    <w:rsid w:val="0049036D"/>
    <w:rsid w:val="00490424"/>
    <w:rsid w:val="004920D6"/>
    <w:rsid w:val="00496EE2"/>
    <w:rsid w:val="004D1072"/>
    <w:rsid w:val="004D1441"/>
    <w:rsid w:val="004D372A"/>
    <w:rsid w:val="004E0A36"/>
    <w:rsid w:val="004E2A62"/>
    <w:rsid w:val="004F255A"/>
    <w:rsid w:val="004F5371"/>
    <w:rsid w:val="00501C94"/>
    <w:rsid w:val="00511A14"/>
    <w:rsid w:val="00511DAA"/>
    <w:rsid w:val="0051237D"/>
    <w:rsid w:val="00513EC3"/>
    <w:rsid w:val="00516B7F"/>
    <w:rsid w:val="00520DF2"/>
    <w:rsid w:val="00521FCA"/>
    <w:rsid w:val="0052479A"/>
    <w:rsid w:val="00541B8C"/>
    <w:rsid w:val="00543C11"/>
    <w:rsid w:val="00544947"/>
    <w:rsid w:val="00550DE2"/>
    <w:rsid w:val="00552030"/>
    <w:rsid w:val="0055203C"/>
    <w:rsid w:val="005602B2"/>
    <w:rsid w:val="00566F8B"/>
    <w:rsid w:val="00573AB8"/>
    <w:rsid w:val="00575CBE"/>
    <w:rsid w:val="0058107D"/>
    <w:rsid w:val="0058272A"/>
    <w:rsid w:val="005857DE"/>
    <w:rsid w:val="005948B7"/>
    <w:rsid w:val="00596592"/>
    <w:rsid w:val="005A19EF"/>
    <w:rsid w:val="005C3EC4"/>
    <w:rsid w:val="005D0730"/>
    <w:rsid w:val="005D63AE"/>
    <w:rsid w:val="005D75B4"/>
    <w:rsid w:val="005E23A6"/>
    <w:rsid w:val="005E46E6"/>
    <w:rsid w:val="005E5DEC"/>
    <w:rsid w:val="005E72CD"/>
    <w:rsid w:val="005F0118"/>
    <w:rsid w:val="00600301"/>
    <w:rsid w:val="0060787A"/>
    <w:rsid w:val="006279F1"/>
    <w:rsid w:val="006318A5"/>
    <w:rsid w:val="00640ED1"/>
    <w:rsid w:val="0064334B"/>
    <w:rsid w:val="00663E69"/>
    <w:rsid w:val="006665F3"/>
    <w:rsid w:val="006929B5"/>
    <w:rsid w:val="006978FC"/>
    <w:rsid w:val="00697D10"/>
    <w:rsid w:val="006B10B0"/>
    <w:rsid w:val="006D6F30"/>
    <w:rsid w:val="006F32DA"/>
    <w:rsid w:val="0072108E"/>
    <w:rsid w:val="00721DD5"/>
    <w:rsid w:val="00722971"/>
    <w:rsid w:val="0072655E"/>
    <w:rsid w:val="00730F64"/>
    <w:rsid w:val="007340BC"/>
    <w:rsid w:val="00735B6D"/>
    <w:rsid w:val="0073689D"/>
    <w:rsid w:val="00737D30"/>
    <w:rsid w:val="0074368B"/>
    <w:rsid w:val="00764C37"/>
    <w:rsid w:val="00772FB9"/>
    <w:rsid w:val="00774168"/>
    <w:rsid w:val="00774A7F"/>
    <w:rsid w:val="00775D88"/>
    <w:rsid w:val="00777F54"/>
    <w:rsid w:val="00781D0B"/>
    <w:rsid w:val="00785AA2"/>
    <w:rsid w:val="00793F6F"/>
    <w:rsid w:val="007A7BDB"/>
    <w:rsid w:val="007B066B"/>
    <w:rsid w:val="007B0DEB"/>
    <w:rsid w:val="007B7D81"/>
    <w:rsid w:val="007C676B"/>
    <w:rsid w:val="007D3459"/>
    <w:rsid w:val="007E4350"/>
    <w:rsid w:val="007E5B82"/>
    <w:rsid w:val="007E643B"/>
    <w:rsid w:val="007F0CD6"/>
    <w:rsid w:val="007F4CDC"/>
    <w:rsid w:val="007F5C38"/>
    <w:rsid w:val="008227EF"/>
    <w:rsid w:val="008230C4"/>
    <w:rsid w:val="00823C75"/>
    <w:rsid w:val="0082726D"/>
    <w:rsid w:val="008319BB"/>
    <w:rsid w:val="00833812"/>
    <w:rsid w:val="008426C6"/>
    <w:rsid w:val="0084401A"/>
    <w:rsid w:val="00855AD5"/>
    <w:rsid w:val="00872D54"/>
    <w:rsid w:val="008836D5"/>
    <w:rsid w:val="00892105"/>
    <w:rsid w:val="0089451C"/>
    <w:rsid w:val="008A15FE"/>
    <w:rsid w:val="008A36C6"/>
    <w:rsid w:val="008A3AA2"/>
    <w:rsid w:val="008B1CCE"/>
    <w:rsid w:val="008B5CC7"/>
    <w:rsid w:val="008D1368"/>
    <w:rsid w:val="008D2A46"/>
    <w:rsid w:val="008D42A6"/>
    <w:rsid w:val="008D4512"/>
    <w:rsid w:val="008D7C1F"/>
    <w:rsid w:val="0090330F"/>
    <w:rsid w:val="00904B2B"/>
    <w:rsid w:val="00914166"/>
    <w:rsid w:val="00920C87"/>
    <w:rsid w:val="009311C6"/>
    <w:rsid w:val="00933DD6"/>
    <w:rsid w:val="00943CCF"/>
    <w:rsid w:val="0096303F"/>
    <w:rsid w:val="0097061B"/>
    <w:rsid w:val="00973AA0"/>
    <w:rsid w:val="00974384"/>
    <w:rsid w:val="00976272"/>
    <w:rsid w:val="0097640A"/>
    <w:rsid w:val="00981F90"/>
    <w:rsid w:val="009A1F3F"/>
    <w:rsid w:val="009A3FF4"/>
    <w:rsid w:val="009B0408"/>
    <w:rsid w:val="009B518D"/>
    <w:rsid w:val="009B60B3"/>
    <w:rsid w:val="009C0213"/>
    <w:rsid w:val="009C5CDA"/>
    <w:rsid w:val="009C7132"/>
    <w:rsid w:val="009D10E2"/>
    <w:rsid w:val="009D23B7"/>
    <w:rsid w:val="009E05EC"/>
    <w:rsid w:val="009E0717"/>
    <w:rsid w:val="009E4AA9"/>
    <w:rsid w:val="009E7DE2"/>
    <w:rsid w:val="009F2107"/>
    <w:rsid w:val="00A01815"/>
    <w:rsid w:val="00A03322"/>
    <w:rsid w:val="00A11FFC"/>
    <w:rsid w:val="00A13473"/>
    <w:rsid w:val="00A13B85"/>
    <w:rsid w:val="00A14CB6"/>
    <w:rsid w:val="00A16401"/>
    <w:rsid w:val="00A1643D"/>
    <w:rsid w:val="00A228E1"/>
    <w:rsid w:val="00A242F0"/>
    <w:rsid w:val="00A346E3"/>
    <w:rsid w:val="00A35FC7"/>
    <w:rsid w:val="00A44481"/>
    <w:rsid w:val="00A458E3"/>
    <w:rsid w:val="00A518C5"/>
    <w:rsid w:val="00A60EC3"/>
    <w:rsid w:val="00A629FD"/>
    <w:rsid w:val="00A62F75"/>
    <w:rsid w:val="00A63E00"/>
    <w:rsid w:val="00A64F47"/>
    <w:rsid w:val="00A95B57"/>
    <w:rsid w:val="00AA4A4C"/>
    <w:rsid w:val="00AA5282"/>
    <w:rsid w:val="00AA7C3A"/>
    <w:rsid w:val="00AB00E8"/>
    <w:rsid w:val="00AB7AD0"/>
    <w:rsid w:val="00AC011A"/>
    <w:rsid w:val="00AD1389"/>
    <w:rsid w:val="00AD1D61"/>
    <w:rsid w:val="00AF46F6"/>
    <w:rsid w:val="00B03F4A"/>
    <w:rsid w:val="00B03FCD"/>
    <w:rsid w:val="00B06DAB"/>
    <w:rsid w:val="00B06EF4"/>
    <w:rsid w:val="00B10366"/>
    <w:rsid w:val="00B15634"/>
    <w:rsid w:val="00B346F9"/>
    <w:rsid w:val="00B36D75"/>
    <w:rsid w:val="00B460A4"/>
    <w:rsid w:val="00B558B9"/>
    <w:rsid w:val="00B636E5"/>
    <w:rsid w:val="00B70C2A"/>
    <w:rsid w:val="00B70C7E"/>
    <w:rsid w:val="00B857E0"/>
    <w:rsid w:val="00B91800"/>
    <w:rsid w:val="00B92A83"/>
    <w:rsid w:val="00BB03CC"/>
    <w:rsid w:val="00BB1598"/>
    <w:rsid w:val="00BB7B1C"/>
    <w:rsid w:val="00BC26F5"/>
    <w:rsid w:val="00BD03D3"/>
    <w:rsid w:val="00BD1CEC"/>
    <w:rsid w:val="00BE0233"/>
    <w:rsid w:val="00BE2B4B"/>
    <w:rsid w:val="00BE6BFB"/>
    <w:rsid w:val="00BF6168"/>
    <w:rsid w:val="00BF7728"/>
    <w:rsid w:val="00C01D34"/>
    <w:rsid w:val="00C03DBF"/>
    <w:rsid w:val="00C06040"/>
    <w:rsid w:val="00C17497"/>
    <w:rsid w:val="00C26A54"/>
    <w:rsid w:val="00C26B6C"/>
    <w:rsid w:val="00C446D6"/>
    <w:rsid w:val="00C46BA4"/>
    <w:rsid w:val="00C51574"/>
    <w:rsid w:val="00C5503D"/>
    <w:rsid w:val="00C5760C"/>
    <w:rsid w:val="00C63571"/>
    <w:rsid w:val="00C711E5"/>
    <w:rsid w:val="00C72F19"/>
    <w:rsid w:val="00C750C9"/>
    <w:rsid w:val="00C76269"/>
    <w:rsid w:val="00C84D54"/>
    <w:rsid w:val="00C860A3"/>
    <w:rsid w:val="00C87010"/>
    <w:rsid w:val="00C91CF6"/>
    <w:rsid w:val="00CB202C"/>
    <w:rsid w:val="00CD006E"/>
    <w:rsid w:val="00CD6030"/>
    <w:rsid w:val="00CF21CD"/>
    <w:rsid w:val="00D04FD9"/>
    <w:rsid w:val="00D154EF"/>
    <w:rsid w:val="00D15759"/>
    <w:rsid w:val="00D20AF2"/>
    <w:rsid w:val="00D25DB8"/>
    <w:rsid w:val="00D41EAA"/>
    <w:rsid w:val="00D44EEE"/>
    <w:rsid w:val="00D47331"/>
    <w:rsid w:val="00D5368E"/>
    <w:rsid w:val="00D5638B"/>
    <w:rsid w:val="00D64CEC"/>
    <w:rsid w:val="00D71DA6"/>
    <w:rsid w:val="00D76CC7"/>
    <w:rsid w:val="00D81938"/>
    <w:rsid w:val="00D83CE0"/>
    <w:rsid w:val="00D90ED1"/>
    <w:rsid w:val="00D929D9"/>
    <w:rsid w:val="00D92C2D"/>
    <w:rsid w:val="00DA6B59"/>
    <w:rsid w:val="00DB1B40"/>
    <w:rsid w:val="00DB2A2C"/>
    <w:rsid w:val="00DB4C11"/>
    <w:rsid w:val="00DB58B7"/>
    <w:rsid w:val="00DF1ECD"/>
    <w:rsid w:val="00DF552E"/>
    <w:rsid w:val="00DF593B"/>
    <w:rsid w:val="00E021FD"/>
    <w:rsid w:val="00E050D0"/>
    <w:rsid w:val="00E17CC6"/>
    <w:rsid w:val="00E20810"/>
    <w:rsid w:val="00E26864"/>
    <w:rsid w:val="00E3412E"/>
    <w:rsid w:val="00E377CB"/>
    <w:rsid w:val="00E46838"/>
    <w:rsid w:val="00E523EF"/>
    <w:rsid w:val="00E653A0"/>
    <w:rsid w:val="00E66273"/>
    <w:rsid w:val="00E80C35"/>
    <w:rsid w:val="00E8398F"/>
    <w:rsid w:val="00E8731B"/>
    <w:rsid w:val="00E91E8F"/>
    <w:rsid w:val="00EA5B03"/>
    <w:rsid w:val="00EB0A90"/>
    <w:rsid w:val="00EB1B21"/>
    <w:rsid w:val="00EB7A1C"/>
    <w:rsid w:val="00EB7C63"/>
    <w:rsid w:val="00ED33AA"/>
    <w:rsid w:val="00ED6E7B"/>
    <w:rsid w:val="00EE74D0"/>
    <w:rsid w:val="00EF2425"/>
    <w:rsid w:val="00EF5B59"/>
    <w:rsid w:val="00F11CE4"/>
    <w:rsid w:val="00F13B18"/>
    <w:rsid w:val="00F3707C"/>
    <w:rsid w:val="00F40D8E"/>
    <w:rsid w:val="00F4144B"/>
    <w:rsid w:val="00F415FA"/>
    <w:rsid w:val="00F41BD9"/>
    <w:rsid w:val="00F44CA1"/>
    <w:rsid w:val="00F4595D"/>
    <w:rsid w:val="00F50ED0"/>
    <w:rsid w:val="00F53867"/>
    <w:rsid w:val="00F547C7"/>
    <w:rsid w:val="00F562FA"/>
    <w:rsid w:val="00F74F34"/>
    <w:rsid w:val="00F9266C"/>
    <w:rsid w:val="00F96465"/>
    <w:rsid w:val="00FA0DFE"/>
    <w:rsid w:val="00FA6149"/>
    <w:rsid w:val="00FC0710"/>
    <w:rsid w:val="00FC086A"/>
    <w:rsid w:val="00FC2CD2"/>
    <w:rsid w:val="00FC577D"/>
    <w:rsid w:val="00FC7142"/>
    <w:rsid w:val="00FD47B3"/>
    <w:rsid w:val="00FD71D8"/>
    <w:rsid w:val="00FD758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0D"/>
  </w:style>
  <w:style w:type="paragraph" w:styleId="Ttulo1">
    <w:name w:val="heading 1"/>
    <w:basedOn w:val="Normal1"/>
    <w:next w:val="Normal1"/>
    <w:uiPriority w:val="9"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customStyle="1" w:styleId="TableNormal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11390D"/>
  </w:style>
  <w:style w:type="table" w:customStyle="1" w:styleId="TableNormal4">
    <w:name w:val="Table Normal"/>
    <w:rsid w:val="00113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139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C1C"/>
  </w:style>
  <w:style w:type="paragraph" w:styleId="Piedepgina">
    <w:name w:val="footer"/>
    <w:basedOn w:val="Normal"/>
    <w:link w:val="Piedepgina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C1C"/>
  </w:style>
  <w:style w:type="paragraph" w:styleId="Prrafodelista">
    <w:name w:val="List Paragraph"/>
    <w:basedOn w:val="Normal"/>
    <w:uiPriority w:val="34"/>
    <w:qFormat/>
    <w:rsid w:val="004206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F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1FE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5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A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973A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A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xpo2020dubai.com/en/news/safety-and-responsibility-measures" TargetMode="External"/><Relationship Id="rId12" Type="http://schemas.openxmlformats.org/officeDocument/2006/relationships/hyperlink" Target="https://www.emirates.com/english/discover-dubai/expo-2020/expo-claim-ticket/" TargetMode="External"/><Relationship Id="rId13" Type="http://schemas.openxmlformats.org/officeDocument/2006/relationships/hyperlink" Target="https://www.emirates.com/ae/english/" TargetMode="External"/><Relationship Id="rId14" Type="http://schemas.openxmlformats.org/officeDocument/2006/relationships/hyperlink" Target="https://www.emirates.com/english/help/covid-19/dubai-travel-requirements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nsa@sergat.com" TargetMode="External"/><Relationship Id="rId9" Type="http://schemas.openxmlformats.org/officeDocument/2006/relationships/hyperlink" Target="http://www.emirates.com/myemiratespass" TargetMode="External"/><Relationship Id="rId10" Type="http://schemas.openxmlformats.org/officeDocument/2006/relationships/hyperlink" Target="https://www.emirates.com/ch/english/dubai-experi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nAnfyvYq8bruNzzo/HEODjvaA==">AMUW2mWjjC22SeouE6+XE4To+NCgNNLq3JLZxGluVFJGRjzOn2zIm0nI77SH/tG1m8aRySFulD/WDJPiSHHJ/GhBj/264cKYVfDMFWoyzMglrNlf87j6t8BG9Y3x2Rwt1/1A2QSZ0N+wfwzgYrWYQQgGS4KmbViLwTaKQ0cL2m2T4LZto4eOquc=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881</Words>
  <Characters>5025</Characters>
  <Application>Microsoft Word 12.0.0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SERGAT</dc:creator>
  <cp:lastModifiedBy>Fina  Estalella</cp:lastModifiedBy>
  <cp:revision>13</cp:revision>
  <dcterms:created xsi:type="dcterms:W3CDTF">2021-09-30T10:05:00Z</dcterms:created>
  <dcterms:modified xsi:type="dcterms:W3CDTF">2021-10-01T11:16:00Z</dcterms:modified>
</cp:coreProperties>
</file>