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A4D0F" w14:textId="77777777" w:rsidR="00E0188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bookmarkStart w:id="0" w:name="_gjdgxs" w:colFirst="0" w:colLast="0"/>
      <w:bookmarkEnd w:id="0"/>
      <w:r>
        <w:rPr>
          <w:rFonts w:ascii="Century Gothic" w:eastAsia="Century Gothic" w:hAnsi="Century Gothic" w:cs="Century Gothic"/>
          <w:color w:val="000000"/>
          <w:sz w:val="18"/>
          <w:szCs w:val="18"/>
        </w:rPr>
        <w:t>Contacto:</w:t>
      </w:r>
    </w:p>
    <w:p w14:paraId="6B3AF943" w14:textId="77777777" w:rsidR="00E0188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0795DC0" w14:textId="77777777" w:rsidR="00E0188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5B0E637E" w14:textId="77777777" w:rsidR="00E0188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520BC352" w14:textId="77777777" w:rsidR="00E01880"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01880" w14:paraId="475AF0C3" w14:textId="77777777">
        <w:trPr>
          <w:jc w:val="center"/>
        </w:trPr>
        <w:tc>
          <w:tcPr>
            <w:tcW w:w="5775" w:type="dxa"/>
            <w:vAlign w:val="center"/>
          </w:tcPr>
          <w:p w14:paraId="285105DE" w14:textId="77777777" w:rsidR="00E01880" w:rsidRDefault="00E01880">
            <w:pPr>
              <w:jc w:val="center"/>
              <w:rPr>
                <w:sz w:val="20"/>
                <w:szCs w:val="20"/>
              </w:rPr>
            </w:pPr>
          </w:p>
        </w:tc>
      </w:tr>
    </w:tbl>
    <w:p w14:paraId="06D33DE3" w14:textId="77777777" w:rsidR="00E01880"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ofrecerá Premium Economy en sus rutas a la India a partir de octubre</w:t>
      </w:r>
    </w:p>
    <w:p w14:paraId="70F9E728" w14:textId="77777777" w:rsidR="00E01880" w:rsidRDefault="00000000">
      <w:pPr>
        <w:numPr>
          <w:ilvl w:val="0"/>
          <w:numId w:val="1"/>
        </w:numPr>
        <w:pBdr>
          <w:top w:val="nil"/>
          <w:left w:val="nil"/>
          <w:bottom w:val="nil"/>
          <w:right w:val="nil"/>
          <w:between w:val="nil"/>
        </w:pBdr>
        <w:spacing w:before="280" w:line="360"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La clase </w:t>
      </w:r>
      <w:r>
        <w:rPr>
          <w:rFonts w:ascii="Century Gothic" w:eastAsia="Century Gothic" w:hAnsi="Century Gothic" w:cs="Century Gothic"/>
          <w:i/>
          <w:color w:val="000000"/>
          <w:sz w:val="22"/>
          <w:szCs w:val="22"/>
        </w:rPr>
        <w:t>Premium Economy</w:t>
      </w:r>
      <w:r>
        <w:rPr>
          <w:rFonts w:ascii="Century Gothic" w:eastAsia="Century Gothic" w:hAnsi="Century Gothic" w:cs="Century Gothic"/>
          <w:color w:val="000000"/>
          <w:sz w:val="22"/>
          <w:szCs w:val="22"/>
        </w:rPr>
        <w:t xml:space="preserve"> se introducirá en el servicio de Emirates a Bombay y Bengaluru a partir del 29 de octubre</w:t>
      </w:r>
    </w:p>
    <w:p w14:paraId="3E25E47D" w14:textId="77777777" w:rsidR="00E01880" w:rsidRDefault="00000000">
      <w:pPr>
        <w:numPr>
          <w:ilvl w:val="0"/>
          <w:numId w:val="1"/>
        </w:numPr>
        <w:pBdr>
          <w:top w:val="nil"/>
          <w:left w:val="nil"/>
          <w:bottom w:val="nil"/>
          <w:right w:val="nil"/>
          <w:between w:val="nil"/>
        </w:pBdr>
        <w:spacing w:line="360"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El A380</w:t>
      </w:r>
      <w:r>
        <w:rPr>
          <w:rFonts w:ascii="Century Gothic" w:eastAsia="Century Gothic" w:hAnsi="Century Gothic" w:cs="Century Gothic"/>
          <w:sz w:val="22"/>
          <w:szCs w:val="22"/>
        </w:rPr>
        <w:t xml:space="preserve"> </w:t>
      </w:r>
      <w:r>
        <w:rPr>
          <w:rFonts w:ascii="Century Gothic" w:eastAsia="Century Gothic" w:hAnsi="Century Gothic" w:cs="Century Gothic"/>
          <w:color w:val="000000"/>
          <w:sz w:val="22"/>
          <w:szCs w:val="22"/>
        </w:rPr>
        <w:t xml:space="preserve">también ofrece interiores </w:t>
      </w:r>
      <w:r>
        <w:rPr>
          <w:rFonts w:ascii="Century Gothic" w:eastAsia="Century Gothic" w:hAnsi="Century Gothic" w:cs="Century Gothic"/>
          <w:sz w:val="22"/>
          <w:szCs w:val="22"/>
        </w:rPr>
        <w:t>renovados</w:t>
      </w:r>
      <w:r>
        <w:rPr>
          <w:rFonts w:ascii="Century Gothic" w:eastAsia="Century Gothic" w:hAnsi="Century Gothic" w:cs="Century Gothic"/>
          <w:color w:val="000000"/>
          <w:sz w:val="22"/>
          <w:szCs w:val="22"/>
        </w:rPr>
        <w:t xml:space="preserve"> en todas las cabinas y una experiencia exclusiva </w:t>
      </w:r>
    </w:p>
    <w:p w14:paraId="4EBB6C19" w14:textId="77777777" w:rsidR="00E01880" w:rsidRDefault="00E01880">
      <w:pPr>
        <w:pBdr>
          <w:top w:val="nil"/>
          <w:left w:val="nil"/>
          <w:bottom w:val="nil"/>
          <w:right w:val="nil"/>
          <w:between w:val="nil"/>
        </w:pBdr>
        <w:spacing w:line="360" w:lineRule="auto"/>
        <w:jc w:val="both"/>
        <w:rPr>
          <w:rFonts w:ascii="Century Gothic" w:eastAsia="Century Gothic" w:hAnsi="Century Gothic" w:cs="Century Gothic"/>
          <w:b/>
          <w:sz w:val="22"/>
          <w:szCs w:val="22"/>
        </w:rPr>
      </w:pPr>
    </w:p>
    <w:p w14:paraId="072EC903" w14:textId="77777777" w:rsidR="00E01880" w:rsidRDefault="00000000">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EAU, 13 de junio de 2023:</w:t>
      </w:r>
      <w:r>
        <w:rPr>
          <w:rFonts w:ascii="Century Gothic" w:eastAsia="Century Gothic" w:hAnsi="Century Gothic" w:cs="Century Gothic"/>
          <w:sz w:val="22"/>
          <w:szCs w:val="22"/>
        </w:rPr>
        <w:t xml:space="preserve"> Emirates ha anunciado hoy que, a partir del 29 de octubre, los clientes que vuelen desde y hacia Mumbai y Bengaluru podrán disfrutar de su codiciada oferta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Emirates operará con su avión insignia A380, recientemente modernizado, en estos dos populares puntos de la India, con los nuevos asientos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así como interiores renovados que proporcionan una experiencia elevada en todas las demás clases de cabina.</w:t>
      </w:r>
    </w:p>
    <w:p w14:paraId="28E227F9"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viajeros que vuelen en la ruta Dubái-Mumbai pueden reservar los asientos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de Emirates en EK500/501, mientras que los clientes que vuelen entre Dubái y Bengaluru pueden reservar sus vuelos en EK568/569 para disfrutar del último producto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de la industria con asientos de lujo, más espacio para las piernas y una experiencia gastronómica de categoría. Los asientos para viajar a partir del 29 de octubre ya pueden reservarse en emirates.com o a través de las oficinas de ventas de Emirates y agencias de viajes. </w:t>
      </w:r>
    </w:p>
    <w:p w14:paraId="0724318F"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vuelos diarios de Emirates que ofrecen la experiencia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hacia/desde Bengaluru y Mumbai operarán de la siguiente manera:</w:t>
      </w:r>
    </w:p>
    <w:p w14:paraId="128DF3F9" w14:textId="77777777" w:rsidR="00E01880" w:rsidRDefault="00E0188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tbl>
      <w:tblPr>
        <w:tblStyle w:val="a0"/>
        <w:tblW w:w="9386" w:type="dxa"/>
        <w:tblInd w:w="-15" w:type="dxa"/>
        <w:tblLayout w:type="fixed"/>
        <w:tblLook w:val="0400" w:firstRow="0" w:lastRow="0" w:firstColumn="0" w:lastColumn="0" w:noHBand="0" w:noVBand="1"/>
      </w:tblPr>
      <w:tblGrid>
        <w:gridCol w:w="2020"/>
        <w:gridCol w:w="2207"/>
        <w:gridCol w:w="1321"/>
        <w:gridCol w:w="2222"/>
        <w:gridCol w:w="1616"/>
      </w:tblGrid>
      <w:tr w:rsidR="00E01880" w14:paraId="7DFC7760" w14:textId="77777777">
        <w:tc>
          <w:tcPr>
            <w:tcW w:w="2020" w:type="dxa"/>
            <w:shd w:val="clear" w:color="auto" w:fill="FFFFFF"/>
            <w:tcMar>
              <w:top w:w="15" w:type="dxa"/>
              <w:left w:w="15" w:type="dxa"/>
              <w:bottom w:w="15" w:type="dxa"/>
              <w:right w:w="15" w:type="dxa"/>
            </w:tcMar>
          </w:tcPr>
          <w:p w14:paraId="6AD553B2" w14:textId="77777777" w:rsidR="00E01880" w:rsidRDefault="00000000">
            <w:pPr>
              <w:jc w:val="both"/>
              <w:rPr>
                <w:rFonts w:ascii="Arial" w:eastAsia="Arial" w:hAnsi="Arial" w:cs="Arial"/>
                <w:color w:val="222222"/>
              </w:rPr>
            </w:pPr>
            <w:r>
              <w:rPr>
                <w:rFonts w:ascii="Calibri" w:eastAsia="Calibri" w:hAnsi="Calibri" w:cs="Calibri"/>
                <w:b/>
                <w:color w:val="000000"/>
                <w:highlight w:val="white"/>
              </w:rPr>
              <w:lastRenderedPageBreak/>
              <w:t>Fecha</w:t>
            </w:r>
          </w:p>
          <w:p w14:paraId="14F8D55E" w14:textId="77777777" w:rsidR="00E01880" w:rsidRDefault="00000000">
            <w:pPr>
              <w:rPr>
                <w:rFonts w:ascii="Arial" w:eastAsia="Arial" w:hAnsi="Arial" w:cs="Arial"/>
                <w:color w:val="222222"/>
              </w:rPr>
            </w:pPr>
            <w:r>
              <w:rPr>
                <w:rFonts w:ascii="Arial" w:eastAsia="Arial" w:hAnsi="Arial" w:cs="Arial"/>
                <w:color w:val="222222"/>
              </w:rPr>
              <w:t> </w:t>
            </w:r>
          </w:p>
        </w:tc>
        <w:tc>
          <w:tcPr>
            <w:tcW w:w="2207" w:type="dxa"/>
            <w:shd w:val="clear" w:color="auto" w:fill="FFFFFF"/>
            <w:tcMar>
              <w:top w:w="15" w:type="dxa"/>
              <w:left w:w="15" w:type="dxa"/>
              <w:bottom w:w="15" w:type="dxa"/>
              <w:right w:w="15" w:type="dxa"/>
            </w:tcMar>
          </w:tcPr>
          <w:p w14:paraId="291E3ACF" w14:textId="77777777" w:rsidR="00E01880" w:rsidRDefault="00000000">
            <w:pPr>
              <w:jc w:val="both"/>
              <w:rPr>
                <w:rFonts w:ascii="Arial" w:eastAsia="Arial" w:hAnsi="Arial" w:cs="Arial"/>
                <w:color w:val="222222"/>
              </w:rPr>
            </w:pPr>
            <w:r>
              <w:rPr>
                <w:rFonts w:ascii="Calibri" w:eastAsia="Calibri" w:hAnsi="Calibri" w:cs="Calibri"/>
                <w:b/>
                <w:color w:val="000000"/>
                <w:highlight w:val="white"/>
              </w:rPr>
              <w:t>Vuelo</w:t>
            </w:r>
          </w:p>
          <w:p w14:paraId="07C2F1DE" w14:textId="77777777" w:rsidR="00E01880" w:rsidRDefault="00000000">
            <w:pPr>
              <w:rPr>
                <w:rFonts w:ascii="Arial" w:eastAsia="Arial" w:hAnsi="Arial" w:cs="Arial"/>
                <w:color w:val="222222"/>
              </w:rPr>
            </w:pPr>
            <w:r>
              <w:rPr>
                <w:rFonts w:ascii="Arial" w:eastAsia="Arial" w:hAnsi="Arial" w:cs="Arial"/>
                <w:color w:val="222222"/>
              </w:rPr>
              <w:t> </w:t>
            </w:r>
          </w:p>
        </w:tc>
        <w:tc>
          <w:tcPr>
            <w:tcW w:w="1321" w:type="dxa"/>
            <w:shd w:val="clear" w:color="auto" w:fill="FFFFFF"/>
            <w:tcMar>
              <w:top w:w="15" w:type="dxa"/>
              <w:left w:w="15" w:type="dxa"/>
              <w:bottom w:w="15" w:type="dxa"/>
              <w:right w:w="15" w:type="dxa"/>
            </w:tcMar>
          </w:tcPr>
          <w:p w14:paraId="5CC57CE1" w14:textId="77777777" w:rsidR="00E01880" w:rsidRDefault="00000000">
            <w:pPr>
              <w:jc w:val="both"/>
              <w:rPr>
                <w:rFonts w:ascii="Arial" w:eastAsia="Arial" w:hAnsi="Arial" w:cs="Arial"/>
                <w:color w:val="222222"/>
              </w:rPr>
            </w:pPr>
            <w:r>
              <w:rPr>
                <w:rFonts w:ascii="Calibri" w:eastAsia="Calibri" w:hAnsi="Calibri" w:cs="Calibri"/>
                <w:b/>
                <w:color w:val="000000"/>
                <w:highlight w:val="white"/>
              </w:rPr>
              <w:t>Salida </w:t>
            </w:r>
          </w:p>
          <w:p w14:paraId="1F54BC86" w14:textId="77777777" w:rsidR="00E01880" w:rsidRDefault="00000000">
            <w:pPr>
              <w:rPr>
                <w:rFonts w:ascii="Arial" w:eastAsia="Arial" w:hAnsi="Arial" w:cs="Arial"/>
                <w:color w:val="222222"/>
              </w:rPr>
            </w:pPr>
            <w:r>
              <w:rPr>
                <w:rFonts w:ascii="Arial" w:eastAsia="Arial" w:hAnsi="Arial" w:cs="Arial"/>
                <w:color w:val="222222"/>
              </w:rPr>
              <w:t> </w:t>
            </w:r>
          </w:p>
        </w:tc>
        <w:tc>
          <w:tcPr>
            <w:tcW w:w="2222" w:type="dxa"/>
            <w:shd w:val="clear" w:color="auto" w:fill="FFFFFF"/>
            <w:tcMar>
              <w:top w:w="15" w:type="dxa"/>
              <w:left w:w="15" w:type="dxa"/>
              <w:bottom w:w="15" w:type="dxa"/>
              <w:right w:w="15" w:type="dxa"/>
            </w:tcMar>
          </w:tcPr>
          <w:p w14:paraId="10D13307" w14:textId="77777777" w:rsidR="00E01880" w:rsidRDefault="00000000">
            <w:pPr>
              <w:jc w:val="both"/>
              <w:rPr>
                <w:rFonts w:ascii="Arial" w:eastAsia="Arial" w:hAnsi="Arial" w:cs="Arial"/>
                <w:color w:val="222222"/>
              </w:rPr>
            </w:pPr>
            <w:r>
              <w:rPr>
                <w:rFonts w:ascii="Calibri" w:eastAsia="Calibri" w:hAnsi="Calibri" w:cs="Calibri"/>
                <w:b/>
                <w:color w:val="000000"/>
                <w:highlight w:val="white"/>
              </w:rPr>
              <w:t>Llegada</w:t>
            </w:r>
          </w:p>
          <w:p w14:paraId="449F5EEC" w14:textId="77777777" w:rsidR="00E01880" w:rsidRDefault="00000000">
            <w:pPr>
              <w:rPr>
                <w:rFonts w:ascii="Arial" w:eastAsia="Arial" w:hAnsi="Arial" w:cs="Arial"/>
                <w:color w:val="222222"/>
              </w:rPr>
            </w:pPr>
            <w:r>
              <w:rPr>
                <w:rFonts w:ascii="Arial" w:eastAsia="Arial" w:hAnsi="Arial" w:cs="Arial"/>
                <w:color w:val="222222"/>
              </w:rPr>
              <w:t> </w:t>
            </w:r>
          </w:p>
        </w:tc>
        <w:tc>
          <w:tcPr>
            <w:tcW w:w="1616" w:type="dxa"/>
            <w:shd w:val="clear" w:color="auto" w:fill="FFFFFF"/>
            <w:tcMar>
              <w:top w:w="15" w:type="dxa"/>
              <w:left w:w="15" w:type="dxa"/>
              <w:bottom w:w="15" w:type="dxa"/>
              <w:right w:w="15" w:type="dxa"/>
            </w:tcMar>
          </w:tcPr>
          <w:p w14:paraId="3109533C" w14:textId="77777777" w:rsidR="00E01880" w:rsidRDefault="00000000">
            <w:pPr>
              <w:jc w:val="both"/>
              <w:rPr>
                <w:rFonts w:ascii="Arial" w:eastAsia="Arial" w:hAnsi="Arial" w:cs="Arial"/>
                <w:color w:val="222222"/>
              </w:rPr>
            </w:pPr>
            <w:r>
              <w:rPr>
                <w:rFonts w:ascii="Calibri" w:eastAsia="Calibri" w:hAnsi="Calibri" w:cs="Calibri"/>
                <w:b/>
                <w:color w:val="000000"/>
                <w:highlight w:val="white"/>
              </w:rPr>
              <w:t xml:space="preserve">Tipo de aeronave </w:t>
            </w:r>
          </w:p>
          <w:p w14:paraId="4DCAF3EC" w14:textId="77777777" w:rsidR="00E01880" w:rsidRDefault="00000000">
            <w:pPr>
              <w:rPr>
                <w:rFonts w:ascii="Arial" w:eastAsia="Arial" w:hAnsi="Arial" w:cs="Arial"/>
                <w:color w:val="222222"/>
              </w:rPr>
            </w:pPr>
            <w:r>
              <w:rPr>
                <w:rFonts w:ascii="Arial" w:eastAsia="Arial" w:hAnsi="Arial" w:cs="Arial"/>
                <w:color w:val="222222"/>
              </w:rPr>
              <w:t> </w:t>
            </w:r>
          </w:p>
        </w:tc>
      </w:tr>
      <w:tr w:rsidR="00E01880" w14:paraId="39E4927F" w14:textId="77777777">
        <w:tc>
          <w:tcPr>
            <w:tcW w:w="2020" w:type="dxa"/>
            <w:vMerge w:val="restart"/>
            <w:shd w:val="clear" w:color="auto" w:fill="FFFFFF"/>
            <w:tcMar>
              <w:top w:w="15" w:type="dxa"/>
              <w:left w:w="15" w:type="dxa"/>
              <w:bottom w:w="15" w:type="dxa"/>
              <w:right w:w="15" w:type="dxa"/>
            </w:tcMar>
            <w:vAlign w:val="center"/>
          </w:tcPr>
          <w:p w14:paraId="597CAB7D" w14:textId="77777777" w:rsidR="00E01880" w:rsidRDefault="00000000">
            <w:pPr>
              <w:jc w:val="both"/>
              <w:rPr>
                <w:rFonts w:ascii="Arial" w:eastAsia="Arial" w:hAnsi="Arial" w:cs="Arial"/>
                <w:color w:val="222222"/>
              </w:rPr>
            </w:pPr>
            <w:r>
              <w:rPr>
                <w:rFonts w:ascii="Calibri" w:eastAsia="Calibri" w:hAnsi="Calibri" w:cs="Calibri"/>
                <w:b/>
                <w:color w:val="222222"/>
              </w:rPr>
              <w:t xml:space="preserve">Desde 29 </w:t>
            </w:r>
            <w:proofErr w:type="gramStart"/>
            <w:r>
              <w:rPr>
                <w:rFonts w:ascii="Calibri" w:eastAsia="Calibri" w:hAnsi="Calibri" w:cs="Calibri"/>
                <w:b/>
                <w:color w:val="222222"/>
              </w:rPr>
              <w:t>Octubre</w:t>
            </w:r>
            <w:proofErr w:type="gramEnd"/>
          </w:p>
          <w:p w14:paraId="1ECBBFF1" w14:textId="77777777" w:rsidR="00E01880" w:rsidRDefault="00000000">
            <w:pPr>
              <w:rPr>
                <w:rFonts w:ascii="Arial" w:eastAsia="Arial" w:hAnsi="Arial" w:cs="Arial"/>
                <w:color w:val="222222"/>
              </w:rPr>
            </w:pPr>
            <w:r>
              <w:rPr>
                <w:rFonts w:ascii="Arial" w:eastAsia="Arial" w:hAnsi="Arial" w:cs="Arial"/>
                <w:color w:val="222222"/>
              </w:rPr>
              <w:t> </w:t>
            </w:r>
          </w:p>
        </w:tc>
        <w:tc>
          <w:tcPr>
            <w:tcW w:w="2207" w:type="dxa"/>
            <w:shd w:val="clear" w:color="auto" w:fill="FFFFFF"/>
            <w:tcMar>
              <w:top w:w="15" w:type="dxa"/>
              <w:left w:w="15" w:type="dxa"/>
              <w:bottom w:w="15" w:type="dxa"/>
              <w:right w:w="15" w:type="dxa"/>
            </w:tcMar>
          </w:tcPr>
          <w:p w14:paraId="098F38C0" w14:textId="77777777" w:rsidR="00E01880" w:rsidRDefault="00000000">
            <w:pPr>
              <w:jc w:val="both"/>
              <w:rPr>
                <w:rFonts w:ascii="Arial" w:eastAsia="Arial" w:hAnsi="Arial" w:cs="Arial"/>
                <w:color w:val="222222"/>
              </w:rPr>
            </w:pPr>
            <w:r>
              <w:rPr>
                <w:rFonts w:ascii="Arial" w:eastAsia="Arial" w:hAnsi="Arial" w:cs="Arial"/>
                <w:color w:val="222222"/>
              </w:rPr>
              <w:t>EK500 (DXB/BOM)</w:t>
            </w:r>
          </w:p>
          <w:p w14:paraId="5680DA11" w14:textId="77777777" w:rsidR="00E01880" w:rsidRDefault="00000000">
            <w:pPr>
              <w:rPr>
                <w:rFonts w:ascii="Arial" w:eastAsia="Arial" w:hAnsi="Arial" w:cs="Arial"/>
                <w:color w:val="222222"/>
              </w:rPr>
            </w:pPr>
            <w:r>
              <w:rPr>
                <w:rFonts w:ascii="Arial" w:eastAsia="Arial" w:hAnsi="Arial" w:cs="Arial"/>
                <w:color w:val="222222"/>
              </w:rPr>
              <w:t> </w:t>
            </w:r>
          </w:p>
        </w:tc>
        <w:tc>
          <w:tcPr>
            <w:tcW w:w="1321" w:type="dxa"/>
            <w:shd w:val="clear" w:color="auto" w:fill="FFFFFF"/>
            <w:tcMar>
              <w:top w:w="15" w:type="dxa"/>
              <w:left w:w="15" w:type="dxa"/>
              <w:bottom w:w="15" w:type="dxa"/>
              <w:right w:w="15" w:type="dxa"/>
            </w:tcMar>
          </w:tcPr>
          <w:p w14:paraId="283AA07C" w14:textId="77777777" w:rsidR="00E01880" w:rsidRDefault="00000000">
            <w:pPr>
              <w:jc w:val="both"/>
              <w:rPr>
                <w:rFonts w:ascii="Arial" w:eastAsia="Arial" w:hAnsi="Arial" w:cs="Arial"/>
                <w:color w:val="222222"/>
              </w:rPr>
            </w:pPr>
            <w:r>
              <w:rPr>
                <w:rFonts w:ascii="Arial" w:eastAsia="Arial" w:hAnsi="Arial" w:cs="Arial"/>
                <w:color w:val="000000"/>
                <w:highlight w:val="white"/>
              </w:rPr>
              <w:t>21:50</w:t>
            </w:r>
          </w:p>
          <w:p w14:paraId="6C2B7482" w14:textId="77777777" w:rsidR="00E01880" w:rsidRDefault="00000000">
            <w:pPr>
              <w:rPr>
                <w:rFonts w:ascii="Arial" w:eastAsia="Arial" w:hAnsi="Arial" w:cs="Arial"/>
                <w:color w:val="222222"/>
              </w:rPr>
            </w:pPr>
            <w:r>
              <w:rPr>
                <w:rFonts w:ascii="Arial" w:eastAsia="Arial" w:hAnsi="Arial" w:cs="Arial"/>
                <w:color w:val="222222"/>
              </w:rPr>
              <w:t> </w:t>
            </w:r>
          </w:p>
        </w:tc>
        <w:tc>
          <w:tcPr>
            <w:tcW w:w="2222" w:type="dxa"/>
            <w:shd w:val="clear" w:color="auto" w:fill="FFFFFF"/>
            <w:tcMar>
              <w:top w:w="15" w:type="dxa"/>
              <w:left w:w="15" w:type="dxa"/>
              <w:bottom w:w="15" w:type="dxa"/>
              <w:right w:w="15" w:type="dxa"/>
            </w:tcMar>
          </w:tcPr>
          <w:p w14:paraId="5A2199A8" w14:textId="77777777" w:rsidR="00E01880" w:rsidRDefault="00000000">
            <w:pPr>
              <w:jc w:val="both"/>
              <w:rPr>
                <w:rFonts w:ascii="Arial" w:eastAsia="Arial" w:hAnsi="Arial" w:cs="Arial"/>
                <w:color w:val="222222"/>
              </w:rPr>
            </w:pPr>
            <w:r>
              <w:rPr>
                <w:rFonts w:ascii="Arial" w:eastAsia="Arial" w:hAnsi="Arial" w:cs="Arial"/>
                <w:color w:val="000000"/>
                <w:highlight w:val="white"/>
              </w:rPr>
              <w:t>02:15 (next day)</w:t>
            </w:r>
          </w:p>
          <w:p w14:paraId="5610BABD" w14:textId="77777777" w:rsidR="00E01880" w:rsidRDefault="00000000">
            <w:pPr>
              <w:rPr>
                <w:rFonts w:ascii="Arial" w:eastAsia="Arial" w:hAnsi="Arial" w:cs="Arial"/>
                <w:color w:val="222222"/>
              </w:rPr>
            </w:pPr>
            <w:r>
              <w:rPr>
                <w:rFonts w:ascii="Arial" w:eastAsia="Arial" w:hAnsi="Arial" w:cs="Arial"/>
                <w:color w:val="222222"/>
              </w:rPr>
              <w:t> </w:t>
            </w:r>
          </w:p>
        </w:tc>
        <w:tc>
          <w:tcPr>
            <w:tcW w:w="1616" w:type="dxa"/>
            <w:vMerge w:val="restart"/>
            <w:shd w:val="clear" w:color="auto" w:fill="FFFFFF"/>
            <w:tcMar>
              <w:top w:w="15" w:type="dxa"/>
              <w:left w:w="15" w:type="dxa"/>
              <w:bottom w:w="15" w:type="dxa"/>
              <w:right w:w="15" w:type="dxa"/>
            </w:tcMar>
            <w:vAlign w:val="center"/>
          </w:tcPr>
          <w:p w14:paraId="5AD8D666" w14:textId="77777777" w:rsidR="00E01880" w:rsidRDefault="00000000">
            <w:pPr>
              <w:jc w:val="center"/>
              <w:rPr>
                <w:rFonts w:ascii="Arial" w:eastAsia="Arial" w:hAnsi="Arial" w:cs="Arial"/>
                <w:color w:val="222222"/>
              </w:rPr>
            </w:pPr>
            <w:r>
              <w:rPr>
                <w:rFonts w:ascii="Arial" w:eastAsia="Arial" w:hAnsi="Arial" w:cs="Arial"/>
                <w:color w:val="222222"/>
              </w:rPr>
              <w:t>A380</w:t>
            </w:r>
          </w:p>
          <w:p w14:paraId="4BA5FCEB" w14:textId="77777777" w:rsidR="00E01880" w:rsidRDefault="00000000">
            <w:pPr>
              <w:rPr>
                <w:rFonts w:ascii="Arial" w:eastAsia="Arial" w:hAnsi="Arial" w:cs="Arial"/>
                <w:color w:val="222222"/>
              </w:rPr>
            </w:pPr>
            <w:r>
              <w:rPr>
                <w:rFonts w:ascii="Arial" w:eastAsia="Arial" w:hAnsi="Arial" w:cs="Arial"/>
                <w:color w:val="222222"/>
              </w:rPr>
              <w:t> </w:t>
            </w:r>
          </w:p>
        </w:tc>
      </w:tr>
      <w:tr w:rsidR="00E01880" w14:paraId="49B4AA4D" w14:textId="77777777">
        <w:tc>
          <w:tcPr>
            <w:tcW w:w="2020" w:type="dxa"/>
            <w:vMerge/>
            <w:shd w:val="clear" w:color="auto" w:fill="FFFFFF"/>
            <w:tcMar>
              <w:top w:w="15" w:type="dxa"/>
              <w:left w:w="15" w:type="dxa"/>
              <w:bottom w:w="15" w:type="dxa"/>
              <w:right w:w="15" w:type="dxa"/>
            </w:tcMar>
            <w:vAlign w:val="center"/>
          </w:tcPr>
          <w:p w14:paraId="10D4E4C9" w14:textId="77777777" w:rsidR="00E01880" w:rsidRDefault="00E01880">
            <w:pPr>
              <w:widowControl w:val="0"/>
              <w:pBdr>
                <w:top w:val="nil"/>
                <w:left w:val="nil"/>
                <w:bottom w:val="nil"/>
                <w:right w:val="nil"/>
                <w:between w:val="nil"/>
              </w:pBdr>
              <w:spacing w:line="276" w:lineRule="auto"/>
              <w:rPr>
                <w:rFonts w:ascii="Arial" w:eastAsia="Arial" w:hAnsi="Arial" w:cs="Arial"/>
                <w:color w:val="222222"/>
              </w:rPr>
            </w:pPr>
          </w:p>
        </w:tc>
        <w:tc>
          <w:tcPr>
            <w:tcW w:w="2207" w:type="dxa"/>
            <w:shd w:val="clear" w:color="auto" w:fill="FFFFFF"/>
            <w:tcMar>
              <w:top w:w="15" w:type="dxa"/>
              <w:left w:w="15" w:type="dxa"/>
              <w:bottom w:w="15" w:type="dxa"/>
              <w:right w:w="15" w:type="dxa"/>
            </w:tcMar>
          </w:tcPr>
          <w:p w14:paraId="5259B3E8" w14:textId="77777777" w:rsidR="00E01880" w:rsidRDefault="00000000">
            <w:pPr>
              <w:jc w:val="both"/>
              <w:rPr>
                <w:rFonts w:ascii="Arial" w:eastAsia="Arial" w:hAnsi="Arial" w:cs="Arial"/>
                <w:color w:val="222222"/>
              </w:rPr>
            </w:pPr>
            <w:r>
              <w:rPr>
                <w:rFonts w:ascii="Arial" w:eastAsia="Arial" w:hAnsi="Arial" w:cs="Arial"/>
                <w:color w:val="222222"/>
              </w:rPr>
              <w:t>EK568 (DXB/BLR)</w:t>
            </w:r>
          </w:p>
          <w:p w14:paraId="5657B0A8" w14:textId="77777777" w:rsidR="00E01880" w:rsidRDefault="00000000">
            <w:pPr>
              <w:rPr>
                <w:rFonts w:ascii="Arial" w:eastAsia="Arial" w:hAnsi="Arial" w:cs="Arial"/>
                <w:color w:val="222222"/>
              </w:rPr>
            </w:pPr>
            <w:r>
              <w:rPr>
                <w:rFonts w:ascii="Arial" w:eastAsia="Arial" w:hAnsi="Arial" w:cs="Arial"/>
                <w:color w:val="222222"/>
              </w:rPr>
              <w:t> </w:t>
            </w:r>
          </w:p>
        </w:tc>
        <w:tc>
          <w:tcPr>
            <w:tcW w:w="1321" w:type="dxa"/>
            <w:shd w:val="clear" w:color="auto" w:fill="FFFFFF"/>
            <w:tcMar>
              <w:top w:w="15" w:type="dxa"/>
              <w:left w:w="15" w:type="dxa"/>
              <w:bottom w:w="15" w:type="dxa"/>
              <w:right w:w="15" w:type="dxa"/>
            </w:tcMar>
          </w:tcPr>
          <w:p w14:paraId="7D211404" w14:textId="77777777" w:rsidR="00E01880" w:rsidRDefault="00000000">
            <w:pPr>
              <w:jc w:val="both"/>
              <w:rPr>
                <w:rFonts w:ascii="Arial" w:eastAsia="Arial" w:hAnsi="Arial" w:cs="Arial"/>
                <w:color w:val="222222"/>
              </w:rPr>
            </w:pPr>
            <w:r>
              <w:rPr>
                <w:rFonts w:ascii="Arial" w:eastAsia="Arial" w:hAnsi="Arial" w:cs="Arial"/>
                <w:color w:val="000000"/>
                <w:highlight w:val="white"/>
              </w:rPr>
              <w:t>21:25</w:t>
            </w:r>
          </w:p>
          <w:p w14:paraId="7909C85F" w14:textId="77777777" w:rsidR="00E01880" w:rsidRDefault="00000000">
            <w:pPr>
              <w:rPr>
                <w:rFonts w:ascii="Arial" w:eastAsia="Arial" w:hAnsi="Arial" w:cs="Arial"/>
                <w:color w:val="222222"/>
              </w:rPr>
            </w:pPr>
            <w:r>
              <w:rPr>
                <w:rFonts w:ascii="Arial" w:eastAsia="Arial" w:hAnsi="Arial" w:cs="Arial"/>
                <w:color w:val="222222"/>
              </w:rPr>
              <w:t> </w:t>
            </w:r>
          </w:p>
        </w:tc>
        <w:tc>
          <w:tcPr>
            <w:tcW w:w="2222" w:type="dxa"/>
            <w:shd w:val="clear" w:color="auto" w:fill="FFFFFF"/>
            <w:tcMar>
              <w:top w:w="15" w:type="dxa"/>
              <w:left w:w="15" w:type="dxa"/>
              <w:bottom w:w="15" w:type="dxa"/>
              <w:right w:w="15" w:type="dxa"/>
            </w:tcMar>
          </w:tcPr>
          <w:p w14:paraId="0758EC83" w14:textId="77777777" w:rsidR="00E01880" w:rsidRDefault="00000000">
            <w:pPr>
              <w:jc w:val="both"/>
              <w:rPr>
                <w:rFonts w:ascii="Arial" w:eastAsia="Arial" w:hAnsi="Arial" w:cs="Arial"/>
                <w:color w:val="222222"/>
              </w:rPr>
            </w:pPr>
            <w:r>
              <w:rPr>
                <w:rFonts w:ascii="Arial" w:eastAsia="Arial" w:hAnsi="Arial" w:cs="Arial"/>
                <w:color w:val="000000"/>
                <w:highlight w:val="white"/>
              </w:rPr>
              <w:t>02:30 (next day)</w:t>
            </w:r>
          </w:p>
          <w:p w14:paraId="797604C6" w14:textId="77777777" w:rsidR="00E01880" w:rsidRDefault="00000000">
            <w:pPr>
              <w:rPr>
                <w:rFonts w:ascii="Arial" w:eastAsia="Arial" w:hAnsi="Arial" w:cs="Arial"/>
                <w:color w:val="222222"/>
              </w:rPr>
            </w:pPr>
            <w:r>
              <w:rPr>
                <w:rFonts w:ascii="Arial" w:eastAsia="Arial" w:hAnsi="Arial" w:cs="Arial"/>
                <w:color w:val="222222"/>
              </w:rPr>
              <w:t> </w:t>
            </w:r>
          </w:p>
        </w:tc>
        <w:tc>
          <w:tcPr>
            <w:tcW w:w="1616" w:type="dxa"/>
            <w:vMerge/>
            <w:shd w:val="clear" w:color="auto" w:fill="FFFFFF"/>
            <w:tcMar>
              <w:top w:w="15" w:type="dxa"/>
              <w:left w:w="15" w:type="dxa"/>
              <w:bottom w:w="15" w:type="dxa"/>
              <w:right w:w="15" w:type="dxa"/>
            </w:tcMar>
            <w:vAlign w:val="center"/>
          </w:tcPr>
          <w:p w14:paraId="3FA2200F" w14:textId="77777777" w:rsidR="00E01880" w:rsidRDefault="00E01880">
            <w:pPr>
              <w:widowControl w:val="0"/>
              <w:pBdr>
                <w:top w:val="nil"/>
                <w:left w:val="nil"/>
                <w:bottom w:val="nil"/>
                <w:right w:val="nil"/>
                <w:between w:val="nil"/>
              </w:pBdr>
              <w:spacing w:line="276" w:lineRule="auto"/>
              <w:rPr>
                <w:rFonts w:ascii="Arial" w:eastAsia="Arial" w:hAnsi="Arial" w:cs="Arial"/>
                <w:color w:val="222222"/>
              </w:rPr>
            </w:pPr>
          </w:p>
        </w:tc>
      </w:tr>
      <w:tr w:rsidR="00E01880" w14:paraId="70C34F29" w14:textId="77777777">
        <w:tc>
          <w:tcPr>
            <w:tcW w:w="2020" w:type="dxa"/>
            <w:vMerge w:val="restart"/>
            <w:shd w:val="clear" w:color="auto" w:fill="FFFFFF"/>
            <w:tcMar>
              <w:top w:w="15" w:type="dxa"/>
              <w:left w:w="15" w:type="dxa"/>
              <w:bottom w:w="15" w:type="dxa"/>
              <w:right w:w="15" w:type="dxa"/>
            </w:tcMar>
            <w:vAlign w:val="center"/>
          </w:tcPr>
          <w:p w14:paraId="32F6376C" w14:textId="77777777" w:rsidR="00E01880" w:rsidRDefault="00000000">
            <w:pPr>
              <w:jc w:val="both"/>
              <w:rPr>
                <w:rFonts w:ascii="Arial" w:eastAsia="Arial" w:hAnsi="Arial" w:cs="Arial"/>
                <w:color w:val="222222"/>
              </w:rPr>
            </w:pPr>
            <w:r>
              <w:rPr>
                <w:rFonts w:ascii="Calibri" w:eastAsia="Calibri" w:hAnsi="Calibri" w:cs="Calibri"/>
                <w:b/>
                <w:color w:val="222222"/>
              </w:rPr>
              <w:t xml:space="preserve">Desde 30 </w:t>
            </w:r>
            <w:proofErr w:type="gramStart"/>
            <w:r>
              <w:rPr>
                <w:rFonts w:ascii="Calibri" w:eastAsia="Calibri" w:hAnsi="Calibri" w:cs="Calibri"/>
                <w:b/>
                <w:color w:val="222222"/>
              </w:rPr>
              <w:t>Octubre</w:t>
            </w:r>
            <w:proofErr w:type="gramEnd"/>
          </w:p>
          <w:p w14:paraId="2AB8EFD8" w14:textId="77777777" w:rsidR="00E01880" w:rsidRDefault="00000000">
            <w:pPr>
              <w:rPr>
                <w:rFonts w:ascii="Arial" w:eastAsia="Arial" w:hAnsi="Arial" w:cs="Arial"/>
                <w:color w:val="222222"/>
              </w:rPr>
            </w:pPr>
            <w:r>
              <w:rPr>
                <w:rFonts w:ascii="Arial" w:eastAsia="Arial" w:hAnsi="Arial" w:cs="Arial"/>
                <w:color w:val="222222"/>
              </w:rPr>
              <w:t> </w:t>
            </w:r>
          </w:p>
        </w:tc>
        <w:tc>
          <w:tcPr>
            <w:tcW w:w="2207" w:type="dxa"/>
            <w:shd w:val="clear" w:color="auto" w:fill="FFFFFF"/>
            <w:tcMar>
              <w:top w:w="15" w:type="dxa"/>
              <w:left w:w="15" w:type="dxa"/>
              <w:bottom w:w="15" w:type="dxa"/>
              <w:right w:w="15" w:type="dxa"/>
            </w:tcMar>
          </w:tcPr>
          <w:p w14:paraId="13D6017F" w14:textId="77777777" w:rsidR="00E01880" w:rsidRDefault="00000000">
            <w:pPr>
              <w:jc w:val="both"/>
              <w:rPr>
                <w:rFonts w:ascii="Arial" w:eastAsia="Arial" w:hAnsi="Arial" w:cs="Arial"/>
                <w:color w:val="222222"/>
              </w:rPr>
            </w:pPr>
            <w:r>
              <w:rPr>
                <w:rFonts w:ascii="Arial" w:eastAsia="Arial" w:hAnsi="Arial" w:cs="Arial"/>
                <w:color w:val="222222"/>
              </w:rPr>
              <w:t>EK501 (BOM/DXB)</w:t>
            </w:r>
          </w:p>
          <w:p w14:paraId="14041851" w14:textId="77777777" w:rsidR="00E01880" w:rsidRDefault="00000000">
            <w:pPr>
              <w:rPr>
                <w:rFonts w:ascii="Arial" w:eastAsia="Arial" w:hAnsi="Arial" w:cs="Arial"/>
                <w:color w:val="222222"/>
              </w:rPr>
            </w:pPr>
            <w:r>
              <w:rPr>
                <w:rFonts w:ascii="Arial" w:eastAsia="Arial" w:hAnsi="Arial" w:cs="Arial"/>
                <w:color w:val="222222"/>
              </w:rPr>
              <w:t> </w:t>
            </w:r>
          </w:p>
        </w:tc>
        <w:tc>
          <w:tcPr>
            <w:tcW w:w="1321" w:type="dxa"/>
            <w:shd w:val="clear" w:color="auto" w:fill="FFFFFF"/>
            <w:tcMar>
              <w:top w:w="15" w:type="dxa"/>
              <w:left w:w="15" w:type="dxa"/>
              <w:bottom w:w="15" w:type="dxa"/>
              <w:right w:w="15" w:type="dxa"/>
            </w:tcMar>
          </w:tcPr>
          <w:p w14:paraId="7C259139" w14:textId="77777777" w:rsidR="00E01880" w:rsidRDefault="00000000">
            <w:pPr>
              <w:jc w:val="both"/>
              <w:rPr>
                <w:rFonts w:ascii="Arial" w:eastAsia="Arial" w:hAnsi="Arial" w:cs="Arial"/>
                <w:color w:val="222222"/>
              </w:rPr>
            </w:pPr>
            <w:r>
              <w:rPr>
                <w:rFonts w:ascii="Arial" w:eastAsia="Arial" w:hAnsi="Arial" w:cs="Arial"/>
                <w:color w:val="222222"/>
              </w:rPr>
              <w:t>04:15</w:t>
            </w:r>
          </w:p>
          <w:p w14:paraId="48412195" w14:textId="77777777" w:rsidR="00E01880" w:rsidRDefault="00000000">
            <w:pPr>
              <w:rPr>
                <w:rFonts w:ascii="Arial" w:eastAsia="Arial" w:hAnsi="Arial" w:cs="Arial"/>
                <w:color w:val="222222"/>
              </w:rPr>
            </w:pPr>
            <w:r>
              <w:rPr>
                <w:rFonts w:ascii="Arial" w:eastAsia="Arial" w:hAnsi="Arial" w:cs="Arial"/>
                <w:color w:val="222222"/>
              </w:rPr>
              <w:t> </w:t>
            </w:r>
          </w:p>
        </w:tc>
        <w:tc>
          <w:tcPr>
            <w:tcW w:w="2222" w:type="dxa"/>
            <w:shd w:val="clear" w:color="auto" w:fill="FFFFFF"/>
            <w:tcMar>
              <w:top w:w="15" w:type="dxa"/>
              <w:left w:w="15" w:type="dxa"/>
              <w:bottom w:w="15" w:type="dxa"/>
              <w:right w:w="15" w:type="dxa"/>
            </w:tcMar>
          </w:tcPr>
          <w:p w14:paraId="05B21DEF" w14:textId="77777777" w:rsidR="00E01880" w:rsidRDefault="00000000">
            <w:pPr>
              <w:jc w:val="both"/>
              <w:rPr>
                <w:rFonts w:ascii="Arial" w:eastAsia="Arial" w:hAnsi="Arial" w:cs="Arial"/>
                <w:color w:val="222222"/>
              </w:rPr>
            </w:pPr>
            <w:r>
              <w:rPr>
                <w:rFonts w:ascii="Arial" w:eastAsia="Arial" w:hAnsi="Arial" w:cs="Arial"/>
                <w:color w:val="222222"/>
              </w:rPr>
              <w:t>06:05</w:t>
            </w:r>
          </w:p>
          <w:p w14:paraId="1D331445" w14:textId="77777777" w:rsidR="00E01880" w:rsidRDefault="00000000">
            <w:pPr>
              <w:rPr>
                <w:rFonts w:ascii="Arial" w:eastAsia="Arial" w:hAnsi="Arial" w:cs="Arial"/>
                <w:color w:val="222222"/>
              </w:rPr>
            </w:pPr>
            <w:r>
              <w:rPr>
                <w:rFonts w:ascii="Arial" w:eastAsia="Arial" w:hAnsi="Arial" w:cs="Arial"/>
                <w:color w:val="222222"/>
              </w:rPr>
              <w:t> </w:t>
            </w:r>
          </w:p>
        </w:tc>
        <w:tc>
          <w:tcPr>
            <w:tcW w:w="1616" w:type="dxa"/>
            <w:vMerge/>
            <w:shd w:val="clear" w:color="auto" w:fill="FFFFFF"/>
            <w:tcMar>
              <w:top w:w="15" w:type="dxa"/>
              <w:left w:w="15" w:type="dxa"/>
              <w:bottom w:w="15" w:type="dxa"/>
              <w:right w:w="15" w:type="dxa"/>
            </w:tcMar>
            <w:vAlign w:val="center"/>
          </w:tcPr>
          <w:p w14:paraId="4B9D689E" w14:textId="77777777" w:rsidR="00E01880" w:rsidRDefault="00E01880">
            <w:pPr>
              <w:widowControl w:val="0"/>
              <w:pBdr>
                <w:top w:val="nil"/>
                <w:left w:val="nil"/>
                <w:bottom w:val="nil"/>
                <w:right w:val="nil"/>
                <w:between w:val="nil"/>
              </w:pBdr>
              <w:spacing w:line="276" w:lineRule="auto"/>
              <w:rPr>
                <w:rFonts w:ascii="Arial" w:eastAsia="Arial" w:hAnsi="Arial" w:cs="Arial"/>
                <w:color w:val="222222"/>
              </w:rPr>
            </w:pPr>
          </w:p>
        </w:tc>
      </w:tr>
      <w:tr w:rsidR="00E01880" w14:paraId="4310F911" w14:textId="77777777">
        <w:tc>
          <w:tcPr>
            <w:tcW w:w="2020" w:type="dxa"/>
            <w:vMerge/>
            <w:shd w:val="clear" w:color="auto" w:fill="FFFFFF"/>
            <w:tcMar>
              <w:top w:w="15" w:type="dxa"/>
              <w:left w:w="15" w:type="dxa"/>
              <w:bottom w:w="15" w:type="dxa"/>
              <w:right w:w="15" w:type="dxa"/>
            </w:tcMar>
            <w:vAlign w:val="center"/>
          </w:tcPr>
          <w:p w14:paraId="0FC0C8F7" w14:textId="77777777" w:rsidR="00E01880" w:rsidRDefault="00E01880">
            <w:pPr>
              <w:widowControl w:val="0"/>
              <w:pBdr>
                <w:top w:val="nil"/>
                <w:left w:val="nil"/>
                <w:bottom w:val="nil"/>
                <w:right w:val="nil"/>
                <w:between w:val="nil"/>
              </w:pBdr>
              <w:spacing w:line="276" w:lineRule="auto"/>
              <w:rPr>
                <w:rFonts w:ascii="Arial" w:eastAsia="Arial" w:hAnsi="Arial" w:cs="Arial"/>
                <w:color w:val="222222"/>
              </w:rPr>
            </w:pPr>
          </w:p>
        </w:tc>
        <w:tc>
          <w:tcPr>
            <w:tcW w:w="2207" w:type="dxa"/>
            <w:shd w:val="clear" w:color="auto" w:fill="FFFFFF"/>
            <w:tcMar>
              <w:top w:w="15" w:type="dxa"/>
              <w:left w:w="15" w:type="dxa"/>
              <w:bottom w:w="15" w:type="dxa"/>
              <w:right w:w="15" w:type="dxa"/>
            </w:tcMar>
          </w:tcPr>
          <w:p w14:paraId="71EA62F3" w14:textId="77777777" w:rsidR="00E01880" w:rsidRDefault="00000000">
            <w:pPr>
              <w:jc w:val="both"/>
              <w:rPr>
                <w:rFonts w:ascii="Arial" w:eastAsia="Arial" w:hAnsi="Arial" w:cs="Arial"/>
                <w:color w:val="222222"/>
              </w:rPr>
            </w:pPr>
            <w:r>
              <w:rPr>
                <w:rFonts w:ascii="Arial" w:eastAsia="Arial" w:hAnsi="Arial" w:cs="Arial"/>
                <w:color w:val="222222"/>
              </w:rPr>
              <w:t>EK569 (BLR/DXB)</w:t>
            </w:r>
          </w:p>
          <w:p w14:paraId="47E2FF76" w14:textId="77777777" w:rsidR="00E01880" w:rsidRDefault="00000000">
            <w:pPr>
              <w:rPr>
                <w:rFonts w:ascii="Arial" w:eastAsia="Arial" w:hAnsi="Arial" w:cs="Arial"/>
                <w:color w:val="222222"/>
              </w:rPr>
            </w:pPr>
            <w:r>
              <w:rPr>
                <w:rFonts w:ascii="Arial" w:eastAsia="Arial" w:hAnsi="Arial" w:cs="Arial"/>
                <w:color w:val="222222"/>
              </w:rPr>
              <w:t> </w:t>
            </w:r>
          </w:p>
        </w:tc>
        <w:tc>
          <w:tcPr>
            <w:tcW w:w="1321" w:type="dxa"/>
            <w:shd w:val="clear" w:color="auto" w:fill="FFFFFF"/>
            <w:tcMar>
              <w:top w:w="15" w:type="dxa"/>
              <w:left w:w="15" w:type="dxa"/>
              <w:bottom w:w="15" w:type="dxa"/>
              <w:right w:w="15" w:type="dxa"/>
            </w:tcMar>
          </w:tcPr>
          <w:p w14:paraId="6A6F1D05" w14:textId="77777777" w:rsidR="00E01880" w:rsidRDefault="00000000">
            <w:pPr>
              <w:jc w:val="both"/>
              <w:rPr>
                <w:rFonts w:ascii="Arial" w:eastAsia="Arial" w:hAnsi="Arial" w:cs="Arial"/>
                <w:color w:val="222222"/>
              </w:rPr>
            </w:pPr>
            <w:r>
              <w:rPr>
                <w:rFonts w:ascii="Arial" w:eastAsia="Arial" w:hAnsi="Arial" w:cs="Arial"/>
                <w:color w:val="222222"/>
              </w:rPr>
              <w:t>04:30</w:t>
            </w:r>
          </w:p>
          <w:p w14:paraId="43B929C6" w14:textId="77777777" w:rsidR="00E01880" w:rsidRDefault="00000000">
            <w:pPr>
              <w:rPr>
                <w:rFonts w:ascii="Arial" w:eastAsia="Arial" w:hAnsi="Arial" w:cs="Arial"/>
                <w:color w:val="222222"/>
              </w:rPr>
            </w:pPr>
            <w:r>
              <w:rPr>
                <w:rFonts w:ascii="Arial" w:eastAsia="Arial" w:hAnsi="Arial" w:cs="Arial"/>
                <w:color w:val="222222"/>
              </w:rPr>
              <w:t> </w:t>
            </w:r>
          </w:p>
        </w:tc>
        <w:tc>
          <w:tcPr>
            <w:tcW w:w="2222" w:type="dxa"/>
            <w:shd w:val="clear" w:color="auto" w:fill="FFFFFF"/>
            <w:tcMar>
              <w:top w:w="15" w:type="dxa"/>
              <w:left w:w="15" w:type="dxa"/>
              <w:bottom w:w="15" w:type="dxa"/>
              <w:right w:w="15" w:type="dxa"/>
            </w:tcMar>
          </w:tcPr>
          <w:p w14:paraId="31846C6B" w14:textId="77777777" w:rsidR="00E01880" w:rsidRDefault="00000000">
            <w:pPr>
              <w:jc w:val="both"/>
              <w:rPr>
                <w:rFonts w:ascii="Arial" w:eastAsia="Arial" w:hAnsi="Arial" w:cs="Arial"/>
                <w:color w:val="222222"/>
              </w:rPr>
            </w:pPr>
            <w:r>
              <w:rPr>
                <w:rFonts w:ascii="Arial" w:eastAsia="Arial" w:hAnsi="Arial" w:cs="Arial"/>
                <w:color w:val="222222"/>
              </w:rPr>
              <w:t>07:10</w:t>
            </w:r>
          </w:p>
          <w:p w14:paraId="40401665" w14:textId="77777777" w:rsidR="00E01880" w:rsidRDefault="00E01880">
            <w:pPr>
              <w:jc w:val="both"/>
              <w:rPr>
                <w:rFonts w:ascii="Arial" w:eastAsia="Arial" w:hAnsi="Arial" w:cs="Arial"/>
                <w:color w:val="222222"/>
              </w:rPr>
            </w:pPr>
          </w:p>
          <w:p w14:paraId="75A7EC24" w14:textId="77777777" w:rsidR="00E01880" w:rsidRDefault="00E01880">
            <w:pPr>
              <w:jc w:val="both"/>
              <w:rPr>
                <w:rFonts w:ascii="Arial" w:eastAsia="Arial" w:hAnsi="Arial" w:cs="Arial"/>
                <w:color w:val="222222"/>
              </w:rPr>
            </w:pPr>
          </w:p>
          <w:p w14:paraId="461B1DE9" w14:textId="77777777" w:rsidR="00E01880" w:rsidRDefault="00E01880">
            <w:pPr>
              <w:jc w:val="both"/>
              <w:rPr>
                <w:rFonts w:ascii="Arial" w:eastAsia="Arial" w:hAnsi="Arial" w:cs="Arial"/>
                <w:color w:val="222222"/>
              </w:rPr>
            </w:pPr>
          </w:p>
        </w:tc>
        <w:tc>
          <w:tcPr>
            <w:tcW w:w="1616" w:type="dxa"/>
            <w:vMerge/>
            <w:shd w:val="clear" w:color="auto" w:fill="FFFFFF"/>
            <w:tcMar>
              <w:top w:w="15" w:type="dxa"/>
              <w:left w:w="15" w:type="dxa"/>
              <w:bottom w:w="15" w:type="dxa"/>
              <w:right w:w="15" w:type="dxa"/>
            </w:tcMar>
            <w:vAlign w:val="center"/>
          </w:tcPr>
          <w:p w14:paraId="19573ECD" w14:textId="77777777" w:rsidR="00E01880" w:rsidRDefault="00E01880">
            <w:pPr>
              <w:widowControl w:val="0"/>
              <w:pBdr>
                <w:top w:val="nil"/>
                <w:left w:val="nil"/>
                <w:bottom w:val="nil"/>
                <w:right w:val="nil"/>
                <w:between w:val="nil"/>
              </w:pBdr>
              <w:spacing w:line="276" w:lineRule="auto"/>
              <w:rPr>
                <w:rFonts w:ascii="Arial" w:eastAsia="Arial" w:hAnsi="Arial" w:cs="Arial"/>
                <w:color w:val="222222"/>
              </w:rPr>
            </w:pPr>
          </w:p>
        </w:tc>
      </w:tr>
    </w:tbl>
    <w:p w14:paraId="7D2FDCA9"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medida que se acelera el despliegue de los A380 modernizados y mejorados de Emirates, con una configuración de cuatro clases, la </w:t>
      </w:r>
      <w:r>
        <w:rPr>
          <w:rFonts w:ascii="Century Gothic" w:eastAsia="Century Gothic" w:hAnsi="Century Gothic" w:cs="Century Gothic"/>
          <w:i/>
          <w:sz w:val="22"/>
          <w:szCs w:val="22"/>
        </w:rPr>
        <w:t xml:space="preserve">Premium Economy </w:t>
      </w:r>
      <w:r>
        <w:rPr>
          <w:rFonts w:ascii="Century Gothic" w:eastAsia="Century Gothic" w:hAnsi="Century Gothic" w:cs="Century Gothic"/>
          <w:sz w:val="22"/>
          <w:szCs w:val="22"/>
        </w:rPr>
        <w:t>se ampliará en más vuelos a destinos globales.</w:t>
      </w:r>
    </w:p>
    <w:p w14:paraId="30313748"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clase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ya está disponible en vuelos a nueve destinos de todo el mundo, incluidos los puntos estadounidenses de Nueva York JFK, San Francisco y Houston, además de Londres Heathrow, Sydney, Auckland, Christchurch, Melbourne y Singapur. Las cabinas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también se estrenarán en Los Ángeles en julio, con lo que el número de rutas que ofrecerán este distintivo producto ascenderá a 12 a finales de 2023.</w:t>
      </w:r>
    </w:p>
    <w:p w14:paraId="6B22909B"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Además de la introducción de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en los aviones modernizados, los clientes de todas las cabinas podrán disfrutar de interiores renovados con el característico motivo del árbol </w:t>
      </w:r>
      <w:r>
        <w:rPr>
          <w:rFonts w:ascii="Century Gothic" w:eastAsia="Century Gothic" w:hAnsi="Century Gothic" w:cs="Century Gothic"/>
          <w:i/>
          <w:sz w:val="22"/>
          <w:szCs w:val="22"/>
        </w:rPr>
        <w:t>ghaf</w:t>
      </w:r>
      <w:r>
        <w:rPr>
          <w:rFonts w:ascii="Century Gothic" w:eastAsia="Century Gothic" w:hAnsi="Century Gothic" w:cs="Century Gothic"/>
          <w:sz w:val="22"/>
          <w:szCs w:val="22"/>
        </w:rPr>
        <w:t xml:space="preserve"> de Emirates. Las reformas y mejoras estéticas de las que podrán disfrutar los pasajeros en sus viajes en los A380 modernizados incluyen una mezcla de bellos diseños y nuevas paletas de colores, presentes en todo el avión: las moquetas, los paneles de la pared y los acabados de madera.</w:t>
      </w:r>
    </w:p>
    <w:p w14:paraId="28128724"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clientes eligen el A380 de Emirates por sus cabinas espaciosas y confortables, su silencio y sus características únicas a bordo, como la sala de estar a bordo y el </w:t>
      </w:r>
      <w:r>
        <w:rPr>
          <w:rFonts w:ascii="Century Gothic" w:eastAsia="Century Gothic" w:hAnsi="Century Gothic" w:cs="Century Gothic"/>
          <w:i/>
          <w:sz w:val="22"/>
          <w:szCs w:val="22"/>
        </w:rPr>
        <w:t>spa</w:t>
      </w:r>
      <w:r>
        <w:rPr>
          <w:rFonts w:ascii="Century Gothic" w:eastAsia="Century Gothic" w:hAnsi="Century Gothic" w:cs="Century Gothic"/>
          <w:sz w:val="22"/>
          <w:szCs w:val="22"/>
        </w:rPr>
        <w:t xml:space="preserve"> con ducha de primera clase. Los clientes también pueden disfrutar de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xml:space="preserve">, el galardonado </w:t>
      </w:r>
      <w:r>
        <w:rPr>
          <w:rFonts w:ascii="Century Gothic" w:eastAsia="Century Gothic" w:hAnsi="Century Gothic" w:cs="Century Gothic"/>
          <w:sz w:val="22"/>
          <w:szCs w:val="22"/>
        </w:rPr>
        <w:lastRenderedPageBreak/>
        <w:t>entretenimiento a bordo</w:t>
      </w:r>
      <w:r>
        <w:rPr>
          <w:rFonts w:ascii="Century Gothic" w:eastAsia="Century Gothic" w:hAnsi="Century Gothic" w:cs="Century Gothic"/>
          <w:i/>
          <w:sz w:val="22"/>
          <w:szCs w:val="22"/>
        </w:rPr>
        <w:t>,</w:t>
      </w:r>
      <w:r>
        <w:rPr>
          <w:rFonts w:ascii="Century Gothic" w:eastAsia="Century Gothic" w:hAnsi="Century Gothic" w:cs="Century Gothic"/>
          <w:sz w:val="22"/>
          <w:szCs w:val="22"/>
        </w:rPr>
        <w:t xml:space="preserve"> con más de 5.000 canales a la carta a través de las pantallas más grandes del sector en todas las cabinas.</w:t>
      </w:r>
    </w:p>
    <w:p w14:paraId="69D73B3B"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lanzó sus servicios a la India en octubre de 1985, desde Dubái a Delhi y Bombay, que constituyeron la base de su red inicial de rutas. Desde entonces, Emirates ha ampliado sus operaciones en la India hasta servir un total de nueve destinos en todo el país, incluidos Ahmedabad, Bengaluru, Chennai, Delhi, Hyderabad, Kochi, Calcuta, Bombay y Thiruvananthapuram. </w:t>
      </w:r>
    </w:p>
    <w:p w14:paraId="01082765"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más información sobre las operaciones actuales de Emirates, su red, asistencia en viajes, orientación y seguridad de clientes y empleados, visite </w:t>
      </w:r>
      <w:hyperlink r:id="rId8">
        <w:r>
          <w:rPr>
            <w:rFonts w:ascii="Century Gothic" w:eastAsia="Century Gothic" w:hAnsi="Century Gothic" w:cs="Century Gothic"/>
            <w:color w:val="0000FF"/>
            <w:sz w:val="22"/>
            <w:szCs w:val="22"/>
            <w:u w:val="single"/>
          </w:rPr>
          <w:t>www.emirates.com</w:t>
        </w:r>
      </w:hyperlink>
      <w:r>
        <w:rPr>
          <w:rFonts w:ascii="Century Gothic" w:eastAsia="Century Gothic" w:hAnsi="Century Gothic" w:cs="Century Gothic"/>
          <w:sz w:val="22"/>
          <w:szCs w:val="22"/>
        </w:rPr>
        <w:t xml:space="preserve">. </w:t>
      </w:r>
    </w:p>
    <w:p w14:paraId="30DC02D1"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0364DD74" w14:textId="77777777" w:rsidR="00E01880"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w:t>
      </w:r>
      <w:proofErr w:type="gramStart"/>
      <w:r>
        <w:rPr>
          <w:rFonts w:ascii="Century Gothic" w:eastAsia="Century Gothic" w:hAnsi="Century Gothic" w:cs="Century Gothic"/>
          <w:sz w:val="18"/>
          <w:szCs w:val="18"/>
        </w:rPr>
        <w:t>hub</w:t>
      </w:r>
      <w:proofErr w:type="gramEnd"/>
      <w:r>
        <w:rPr>
          <w:rFonts w:ascii="Century Gothic" w:eastAsia="Century Gothic" w:hAnsi="Century Gothic" w:cs="Century Gothic"/>
          <w:sz w:val="18"/>
          <w:szCs w:val="18"/>
        </w:rPr>
        <w:t xml:space="preserve">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p w14:paraId="4F905BBB" w14:textId="77777777" w:rsidR="00E01880" w:rsidRDefault="00E0188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sectPr w:rsidR="00E01880">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8319" w14:textId="77777777" w:rsidR="00160334" w:rsidRDefault="00160334">
      <w:r>
        <w:separator/>
      </w:r>
    </w:p>
  </w:endnote>
  <w:endnote w:type="continuationSeparator" w:id="0">
    <w:p w14:paraId="0DCE0F8C" w14:textId="77777777" w:rsidR="00160334" w:rsidRDefault="0016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14EEE" w14:textId="77777777" w:rsidR="00160334" w:rsidRDefault="00160334">
      <w:r>
        <w:separator/>
      </w:r>
    </w:p>
  </w:footnote>
  <w:footnote w:type="continuationSeparator" w:id="0">
    <w:p w14:paraId="53B0B957" w14:textId="77777777" w:rsidR="00160334" w:rsidRDefault="0016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045A" w14:textId="77777777" w:rsidR="00E01880"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0BCE8CB8" wp14:editId="0DF91EBA">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4849B7F4" w14:textId="77777777" w:rsidR="00E01880" w:rsidRDefault="00E01880">
    <w:pPr>
      <w:pBdr>
        <w:top w:val="nil"/>
        <w:left w:val="nil"/>
        <w:bottom w:val="nil"/>
        <w:right w:val="nil"/>
        <w:between w:val="nil"/>
      </w:pBdr>
      <w:tabs>
        <w:tab w:val="right" w:pos="8478"/>
      </w:tabs>
      <w:spacing w:after="200"/>
      <w:rPr>
        <w:rFonts w:ascii="Cambria" w:eastAsia="Cambria" w:hAnsi="Cambria" w:cs="Cambria"/>
        <w:color w:val="000000"/>
      </w:rPr>
    </w:pPr>
  </w:p>
  <w:p w14:paraId="4F22DB83" w14:textId="77777777" w:rsidR="00E01880" w:rsidRDefault="00E01880">
    <w:pPr>
      <w:pBdr>
        <w:top w:val="nil"/>
        <w:left w:val="nil"/>
        <w:bottom w:val="nil"/>
        <w:right w:val="nil"/>
        <w:between w:val="nil"/>
      </w:pBdr>
      <w:tabs>
        <w:tab w:val="right" w:pos="8478"/>
      </w:tabs>
      <w:spacing w:after="200"/>
      <w:rPr>
        <w:rFonts w:ascii="Cambria" w:eastAsia="Cambria" w:hAnsi="Cambria" w:cs="Cambria"/>
        <w:color w:val="000000"/>
      </w:rPr>
    </w:pPr>
  </w:p>
  <w:p w14:paraId="074C228F" w14:textId="77777777" w:rsidR="00E01880" w:rsidRDefault="00E01880">
    <w:pPr>
      <w:pBdr>
        <w:top w:val="nil"/>
        <w:left w:val="nil"/>
        <w:bottom w:val="nil"/>
        <w:right w:val="nil"/>
        <w:between w:val="nil"/>
      </w:pBdr>
      <w:tabs>
        <w:tab w:val="right" w:pos="8478"/>
      </w:tabs>
      <w:spacing w:after="200"/>
      <w:rPr>
        <w:rFonts w:ascii="Cambria" w:eastAsia="Cambria" w:hAnsi="Cambria" w:cs="Cambria"/>
        <w:color w:val="000000"/>
      </w:rPr>
    </w:pPr>
  </w:p>
  <w:p w14:paraId="0ED685FE" w14:textId="77777777" w:rsidR="00E01880" w:rsidRDefault="00E01880">
    <w:pPr>
      <w:pBdr>
        <w:top w:val="nil"/>
        <w:left w:val="nil"/>
        <w:bottom w:val="nil"/>
        <w:right w:val="nil"/>
        <w:between w:val="nil"/>
      </w:pBdr>
      <w:tabs>
        <w:tab w:val="right" w:pos="8478"/>
      </w:tabs>
      <w:spacing w:after="200"/>
      <w:rPr>
        <w:rFonts w:ascii="Cambria" w:eastAsia="Cambria" w:hAnsi="Cambria" w:cs="Cambria"/>
        <w:color w:val="000000"/>
      </w:rPr>
    </w:pPr>
  </w:p>
  <w:p w14:paraId="56DF2409" w14:textId="77777777" w:rsidR="00E01880" w:rsidRDefault="00E01880">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97E3B"/>
    <w:multiLevelType w:val="multilevel"/>
    <w:tmpl w:val="FCAA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5864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80"/>
    <w:rsid w:val="00160334"/>
    <w:rsid w:val="008B4810"/>
    <w:rsid w:val="00E018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4C12E81"/>
  <w15:docId w15:val="{931303DE-D9B7-7342-97E1-14B1E83A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mirates.com" TargetMode="Externa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733</Words>
  <Characters>3807</Characters>
  <Application>Microsoft Office Word</Application>
  <DocSecurity>0</DocSecurity>
  <Lines>112</Lines>
  <Paragraphs>39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2023-06-13T11:28:00Z</dcterms:created>
  <dcterms:modified xsi:type="dcterms:W3CDTF">2023-06-13T11:29:00Z</dcterms:modified>
  <cp:category/>
</cp:coreProperties>
</file>