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1A298" w14:textId="77777777" w:rsidR="00514340"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0DD778E3" w14:textId="77777777" w:rsidR="00514340"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1E4563E0" w14:textId="77777777" w:rsidR="00514340"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proofErr w:type="spellStart"/>
      <w:r>
        <w:rPr>
          <w:rFonts w:ascii="Century Gothic" w:eastAsia="Century Gothic" w:hAnsi="Century Gothic" w:cs="Century Gothic"/>
          <w:color w:val="000000"/>
          <w:sz w:val="18"/>
          <w:szCs w:val="18"/>
        </w:rPr>
        <w:t>Sergat</w:t>
      </w:r>
      <w:proofErr w:type="spellEnd"/>
      <w:r>
        <w:rPr>
          <w:rFonts w:ascii="Century Gothic" w:eastAsia="Century Gothic" w:hAnsi="Century Gothic" w:cs="Century Gothic"/>
          <w:color w:val="000000"/>
          <w:sz w:val="18"/>
          <w:szCs w:val="18"/>
        </w:rPr>
        <w:t xml:space="preserve"> </w:t>
      </w:r>
    </w:p>
    <w:p w14:paraId="67153FD2" w14:textId="77777777" w:rsidR="00514340"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 93 414 02 10</w:t>
      </w:r>
    </w:p>
    <w:p w14:paraId="353E4504" w14:textId="77777777" w:rsidR="00514340" w:rsidRDefault="00000000">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E-mail: </w:t>
      </w:r>
      <w:hyperlink r:id="rId7">
        <w:r>
          <w:rPr>
            <w:rFonts w:ascii="Century Gothic" w:eastAsia="Century Gothic" w:hAnsi="Century Gothic" w:cs="Century Gothic"/>
            <w:color w:val="006699"/>
            <w:sz w:val="18"/>
            <w:szCs w:val="18"/>
          </w:rPr>
          <w:t>prensa@sergat.com</w:t>
        </w:r>
      </w:hyperlink>
      <w:r>
        <w:rPr>
          <w:rFonts w:ascii="Century Gothic" w:eastAsia="Century Gothic" w:hAnsi="Century Gothic" w:cs="Century Gothic"/>
          <w:sz w:val="18"/>
          <w:szCs w:val="18"/>
        </w:rPr>
        <w:t xml:space="preserve"> </w:t>
      </w:r>
      <w:r>
        <w:rPr>
          <w:rFonts w:ascii="Century Gothic" w:eastAsia="Century Gothic" w:hAnsi="Century Gothic" w:cs="Century Gothic"/>
          <w:color w:val="000000"/>
          <w:sz w:val="18"/>
          <w:szCs w:val="18"/>
        </w:rPr>
        <w:t xml:space="preserve"> </w:t>
      </w:r>
      <w:r>
        <w:rPr>
          <w:rFonts w:ascii="Century Gothic" w:eastAsia="Century Gothic" w:hAnsi="Century Gothic" w:cs="Century Gothic"/>
          <w:color w:val="0000FF"/>
          <w:sz w:val="18"/>
          <w:szCs w:val="18"/>
        </w:rPr>
        <w:t xml:space="preserve"> </w:t>
      </w:r>
    </w:p>
    <w:tbl>
      <w:tblPr>
        <w:tblStyle w:val="a0"/>
        <w:tblW w:w="5775" w:type="dxa"/>
        <w:jc w:val="center"/>
        <w:tblInd w:w="0" w:type="dxa"/>
        <w:tblLayout w:type="fixed"/>
        <w:tblLook w:val="0400" w:firstRow="0" w:lastRow="0" w:firstColumn="0" w:lastColumn="0" w:noHBand="0" w:noVBand="1"/>
      </w:tblPr>
      <w:tblGrid>
        <w:gridCol w:w="5775"/>
      </w:tblGrid>
      <w:tr w:rsidR="00514340" w14:paraId="2BD4519B" w14:textId="77777777">
        <w:trPr>
          <w:jc w:val="center"/>
        </w:trPr>
        <w:tc>
          <w:tcPr>
            <w:tcW w:w="5775" w:type="dxa"/>
            <w:vAlign w:val="center"/>
          </w:tcPr>
          <w:p w14:paraId="30EA693F" w14:textId="77777777" w:rsidR="00514340" w:rsidRDefault="00514340">
            <w:pPr>
              <w:jc w:val="center"/>
              <w:rPr>
                <w:sz w:val="20"/>
                <w:szCs w:val="20"/>
              </w:rPr>
            </w:pPr>
          </w:p>
        </w:tc>
      </w:tr>
    </w:tbl>
    <w:p w14:paraId="0B4B783C" w14:textId="77777777" w:rsidR="00514340" w:rsidRDefault="00000000">
      <w:pPr>
        <w:pBdr>
          <w:top w:val="nil"/>
          <w:left w:val="nil"/>
          <w:bottom w:val="nil"/>
          <w:right w:val="nil"/>
          <w:between w:val="nil"/>
        </w:pBdr>
        <w:spacing w:before="280" w:line="360" w:lineRule="auto"/>
        <w:jc w:val="center"/>
        <w:rPr>
          <w:rFonts w:ascii="Century Gothic" w:eastAsia="Century Gothic" w:hAnsi="Century Gothic" w:cs="Century Gothic"/>
          <w:b/>
        </w:rPr>
      </w:pPr>
      <w:proofErr w:type="spellStart"/>
      <w:r>
        <w:rPr>
          <w:rFonts w:ascii="Century Gothic" w:eastAsia="Century Gothic" w:hAnsi="Century Gothic" w:cs="Century Gothic"/>
          <w:b/>
        </w:rPr>
        <w:t>Emirates</w:t>
      </w:r>
      <w:proofErr w:type="spellEnd"/>
      <w:r>
        <w:rPr>
          <w:rFonts w:ascii="Century Gothic" w:eastAsia="Century Gothic" w:hAnsi="Century Gothic" w:cs="Century Gothic"/>
          <w:b/>
        </w:rPr>
        <w:t xml:space="preserve"> lanza una entrevista ‘de fuera de este mundo’ con un astronauta en directo desde el espacio</w:t>
      </w:r>
    </w:p>
    <w:p w14:paraId="69504FDD" w14:textId="71482B25" w:rsidR="00514340"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Dubái, EAU, 29 de agosto de 2023 - </w:t>
      </w:r>
      <w:r>
        <w:rPr>
          <w:rFonts w:ascii="Century Gothic" w:eastAsia="Century Gothic" w:hAnsi="Century Gothic" w:cs="Century Gothic"/>
          <w:sz w:val="22"/>
          <w:szCs w:val="22"/>
        </w:rPr>
        <w:t xml:space="preserve">Ir a los confines de la Tierra en busca del mejor entretenimiento no es nada nuevo para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w:t>
      </w:r>
      <w:r>
        <w:rPr>
          <w:rFonts w:ascii="Century Gothic" w:eastAsia="Century Gothic" w:hAnsi="Century Gothic" w:cs="Century Gothic"/>
          <w:i/>
          <w:sz w:val="22"/>
          <w:szCs w:val="22"/>
        </w:rPr>
        <w:t>ice</w:t>
      </w:r>
      <w:r>
        <w:rPr>
          <w:rFonts w:ascii="Century Gothic" w:eastAsia="Century Gothic" w:hAnsi="Century Gothic" w:cs="Century Gothic"/>
          <w:sz w:val="22"/>
          <w:szCs w:val="22"/>
        </w:rPr>
        <w:t xml:space="preserve"> y, esta vez, el galardonado sistema de entretenimiento a bordo ofrecerá una entrevista en directo con el astronauta de los EAU Dr. </w:t>
      </w:r>
      <w:proofErr w:type="spellStart"/>
      <w:r>
        <w:rPr>
          <w:rFonts w:ascii="Century Gothic" w:eastAsia="Century Gothic" w:hAnsi="Century Gothic" w:cs="Century Gothic"/>
          <w:sz w:val="22"/>
          <w:szCs w:val="22"/>
        </w:rPr>
        <w:t>Sultan</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AlNeyadi</w:t>
      </w:r>
      <w:proofErr w:type="spellEnd"/>
      <w:r>
        <w:rPr>
          <w:rFonts w:ascii="Century Gothic" w:eastAsia="Century Gothic" w:hAnsi="Century Gothic" w:cs="Century Gothic"/>
          <w:sz w:val="22"/>
          <w:szCs w:val="22"/>
        </w:rPr>
        <w:t>, que hablará sobre su experiencia a bordo en el espacio, mientras flota a 400 kilómetros por encima de nuestro planeta.</w:t>
      </w:r>
    </w:p>
    <w:p w14:paraId="4914C8B8" w14:textId="77777777" w:rsidR="00514340"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La entrevista se emitirá en directo en el </w:t>
      </w:r>
      <w:proofErr w:type="spellStart"/>
      <w:r>
        <w:rPr>
          <w:rFonts w:ascii="Century Gothic" w:eastAsia="Century Gothic" w:hAnsi="Century Gothic" w:cs="Century Gothic"/>
          <w:i/>
          <w:sz w:val="22"/>
          <w:szCs w:val="22"/>
        </w:rPr>
        <w:t>Emirates</w:t>
      </w:r>
      <w:proofErr w:type="spellEnd"/>
      <w:r>
        <w:rPr>
          <w:rFonts w:ascii="Century Gothic" w:eastAsia="Century Gothic" w:hAnsi="Century Gothic" w:cs="Century Gothic"/>
          <w:i/>
          <w:sz w:val="22"/>
          <w:szCs w:val="22"/>
        </w:rPr>
        <w:t xml:space="preserve"> </w:t>
      </w:r>
      <w:proofErr w:type="spellStart"/>
      <w:r>
        <w:rPr>
          <w:rFonts w:ascii="Century Gothic" w:eastAsia="Century Gothic" w:hAnsi="Century Gothic" w:cs="Century Gothic"/>
          <w:i/>
          <w:sz w:val="22"/>
          <w:szCs w:val="22"/>
        </w:rPr>
        <w:t>World</w:t>
      </w:r>
      <w:proofErr w:type="spellEnd"/>
      <w:r>
        <w:rPr>
          <w:rFonts w:ascii="Century Gothic" w:eastAsia="Century Gothic" w:hAnsi="Century Gothic" w:cs="Century Gothic"/>
          <w:i/>
          <w:sz w:val="22"/>
          <w:szCs w:val="22"/>
        </w:rPr>
        <w:t xml:space="preserve"> </w:t>
      </w:r>
      <w:proofErr w:type="spellStart"/>
      <w:r>
        <w:rPr>
          <w:rFonts w:ascii="Century Gothic" w:eastAsia="Century Gothic" w:hAnsi="Century Gothic" w:cs="Century Gothic"/>
          <w:i/>
          <w:sz w:val="22"/>
          <w:szCs w:val="22"/>
        </w:rPr>
        <w:t>Channel</w:t>
      </w:r>
      <w:proofErr w:type="spellEnd"/>
      <w:r>
        <w:rPr>
          <w:rFonts w:ascii="Century Gothic" w:eastAsia="Century Gothic" w:hAnsi="Century Gothic" w:cs="Century Gothic"/>
          <w:i/>
          <w:sz w:val="22"/>
          <w:szCs w:val="22"/>
        </w:rPr>
        <w:t xml:space="preserve"> </w:t>
      </w:r>
      <w:r>
        <w:rPr>
          <w:rFonts w:ascii="Century Gothic" w:eastAsia="Century Gothic" w:hAnsi="Century Gothic" w:cs="Century Gothic"/>
          <w:sz w:val="22"/>
          <w:szCs w:val="22"/>
        </w:rPr>
        <w:t xml:space="preserve">a partir del 1 de septiembre de 2023, el mismo día en que el estimado astronauta iniciará su viaje de regreso a la Tierra, tras completar una misión científica de seis meses a bordo de la Estación Espacial Internacional (ISS). Se espera que el viaje de vuelta a casa desde el espacio dure hasta 16 horas, sólo una hora menos que el vuelo más largo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17 horas de Auckland a Dubái. La entrevista para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w:t>
      </w:r>
      <w:r>
        <w:rPr>
          <w:rFonts w:ascii="Century Gothic" w:eastAsia="Century Gothic" w:hAnsi="Century Gothic" w:cs="Century Gothic"/>
          <w:i/>
          <w:sz w:val="22"/>
          <w:szCs w:val="22"/>
        </w:rPr>
        <w:t>ice</w:t>
      </w:r>
      <w:r>
        <w:rPr>
          <w:rFonts w:ascii="Century Gothic" w:eastAsia="Century Gothic" w:hAnsi="Century Gothic" w:cs="Century Gothic"/>
          <w:sz w:val="22"/>
          <w:szCs w:val="22"/>
        </w:rPr>
        <w:t xml:space="preserve"> se realizó desde el Centro de Control de la Misión del Centro Espacial Mohammed </w:t>
      </w:r>
      <w:proofErr w:type="spellStart"/>
      <w:r>
        <w:rPr>
          <w:rFonts w:ascii="Century Gothic" w:eastAsia="Century Gothic" w:hAnsi="Century Gothic" w:cs="Century Gothic"/>
          <w:sz w:val="22"/>
          <w:szCs w:val="22"/>
        </w:rPr>
        <w:t>Bin</w:t>
      </w:r>
      <w:proofErr w:type="spellEnd"/>
      <w:r>
        <w:rPr>
          <w:rFonts w:ascii="Century Gothic" w:eastAsia="Century Gothic" w:hAnsi="Century Gothic" w:cs="Century Gothic"/>
          <w:sz w:val="22"/>
          <w:szCs w:val="22"/>
        </w:rPr>
        <w:t xml:space="preserve"> Rashid (MBRSC), a través de la NASA en Houston, mediante un enlace de comunicación espacio-tierra.</w:t>
      </w:r>
    </w:p>
    <w:p w14:paraId="3D652937" w14:textId="77777777" w:rsidR="00514340"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Entrevistado por Patrick </w:t>
      </w:r>
      <w:proofErr w:type="spellStart"/>
      <w:r>
        <w:rPr>
          <w:rFonts w:ascii="Century Gothic" w:eastAsia="Century Gothic" w:hAnsi="Century Gothic" w:cs="Century Gothic"/>
          <w:sz w:val="22"/>
          <w:szCs w:val="22"/>
        </w:rPr>
        <w:t>Brannelly</w:t>
      </w:r>
      <w:proofErr w:type="spellEnd"/>
      <w:r>
        <w:rPr>
          <w:rFonts w:ascii="Century Gothic" w:eastAsia="Century Gothic" w:hAnsi="Century Gothic" w:cs="Century Gothic"/>
          <w:sz w:val="22"/>
          <w:szCs w:val="22"/>
        </w:rPr>
        <w:t xml:space="preserve">, </w:t>
      </w:r>
      <w:proofErr w:type="gramStart"/>
      <w:r>
        <w:rPr>
          <w:rFonts w:ascii="Century Gothic" w:eastAsia="Century Gothic" w:hAnsi="Century Gothic" w:cs="Century Gothic"/>
          <w:sz w:val="22"/>
          <w:szCs w:val="22"/>
        </w:rPr>
        <w:t>Vicepresidente</w:t>
      </w:r>
      <w:proofErr w:type="gramEnd"/>
      <w:r>
        <w:rPr>
          <w:rFonts w:ascii="Century Gothic" w:eastAsia="Century Gothic" w:hAnsi="Century Gothic" w:cs="Century Gothic"/>
          <w:sz w:val="22"/>
          <w:szCs w:val="22"/>
        </w:rPr>
        <w:t xml:space="preserve"> Senior de IFE y Conectividad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el debate supera las expectativas cuando el Dr. </w:t>
      </w:r>
      <w:proofErr w:type="spellStart"/>
      <w:r>
        <w:rPr>
          <w:rFonts w:ascii="Century Gothic" w:eastAsia="Century Gothic" w:hAnsi="Century Gothic" w:cs="Century Gothic"/>
          <w:sz w:val="22"/>
          <w:szCs w:val="22"/>
        </w:rPr>
        <w:t>AlNeyadi</w:t>
      </w:r>
      <w:proofErr w:type="spellEnd"/>
      <w:r>
        <w:rPr>
          <w:rFonts w:ascii="Century Gothic" w:eastAsia="Century Gothic" w:hAnsi="Century Gothic" w:cs="Century Gothic"/>
          <w:sz w:val="22"/>
          <w:szCs w:val="22"/>
        </w:rPr>
        <w:t xml:space="preserve"> describe con cariño sus comidas a bordo, cómo se mantiene en contacto con su familia y el entretenimiento disponible en la nave espacial, y Patrick establece paralelismos con la experiencia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A una increíble altitud de 400 kilómetros en la ISS y a una velocidad orbital de 28.000 kilómetros por hora, las imágenes en directo se intercalan con el Dr. </w:t>
      </w:r>
      <w:proofErr w:type="spellStart"/>
      <w:r>
        <w:rPr>
          <w:rFonts w:ascii="Century Gothic" w:eastAsia="Century Gothic" w:hAnsi="Century Gothic" w:cs="Century Gothic"/>
          <w:sz w:val="22"/>
          <w:szCs w:val="22"/>
        </w:rPr>
        <w:t>AlNeyadi</w:t>
      </w:r>
      <w:proofErr w:type="spellEnd"/>
      <w:r>
        <w:rPr>
          <w:rFonts w:ascii="Century Gothic" w:eastAsia="Century Gothic" w:hAnsi="Century Gothic" w:cs="Century Gothic"/>
          <w:sz w:val="22"/>
          <w:szCs w:val="22"/>
        </w:rPr>
        <w:t xml:space="preserve"> disfrutando de su café en microgravedad, realizando experimentos y poniéndose el cinturón para su entrenamiento diario mientras contempla espectaculares vistas del </w:t>
      </w:r>
      <w:r>
        <w:rPr>
          <w:rFonts w:ascii="Century Gothic" w:eastAsia="Century Gothic" w:hAnsi="Century Gothic" w:cs="Century Gothic"/>
          <w:sz w:val="22"/>
          <w:szCs w:val="22"/>
        </w:rPr>
        <w:lastRenderedPageBreak/>
        <w:t>planeta Tierra y observa de un simple vistazo las condiciones meteorológicas de nuestro mundo.</w:t>
      </w:r>
    </w:p>
    <w:p w14:paraId="6CEAEBCF" w14:textId="77777777" w:rsidR="00514340"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se ha volcado con el viaje del Dr. </w:t>
      </w:r>
      <w:proofErr w:type="spellStart"/>
      <w:r>
        <w:rPr>
          <w:rFonts w:ascii="Century Gothic" w:eastAsia="Century Gothic" w:hAnsi="Century Gothic" w:cs="Century Gothic"/>
          <w:sz w:val="22"/>
          <w:szCs w:val="22"/>
        </w:rPr>
        <w:t>AlNeyadi</w:t>
      </w:r>
      <w:proofErr w:type="spellEnd"/>
      <w:r>
        <w:rPr>
          <w:rFonts w:ascii="Century Gothic" w:eastAsia="Century Gothic" w:hAnsi="Century Gothic" w:cs="Century Gothic"/>
          <w:sz w:val="22"/>
          <w:szCs w:val="22"/>
        </w:rPr>
        <w:t xml:space="preserve"> desde que saltó a la fama como astronauta emiratí y primer árabe en servir en la ISS durante una misión de seis meses, como parte de la Expedición 69, además de ser el primer astronauta árabe en realizar una caminata espacial.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tuvo el honor de conectar con uno de los héroes nacionales de los EAU y colaborar en esta pieza de contenido en </w:t>
      </w:r>
      <w:r>
        <w:rPr>
          <w:rFonts w:ascii="Century Gothic" w:eastAsia="Century Gothic" w:hAnsi="Century Gothic" w:cs="Century Gothic"/>
          <w:i/>
          <w:sz w:val="22"/>
          <w:szCs w:val="22"/>
        </w:rPr>
        <w:t>ice</w:t>
      </w:r>
      <w:r>
        <w:rPr>
          <w:rFonts w:ascii="Century Gothic" w:eastAsia="Century Gothic" w:hAnsi="Century Gothic" w:cs="Century Gothic"/>
          <w:sz w:val="22"/>
          <w:szCs w:val="22"/>
        </w:rPr>
        <w:t xml:space="preserve"> que hará historia.</w:t>
      </w:r>
    </w:p>
    <w:p w14:paraId="0B655352" w14:textId="77777777" w:rsidR="00514340"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Lanzado a bordo en 2003 con 500 canales,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w:t>
      </w:r>
      <w:r>
        <w:rPr>
          <w:rFonts w:ascii="Century Gothic" w:eastAsia="Century Gothic" w:hAnsi="Century Gothic" w:cs="Century Gothic"/>
          <w:i/>
          <w:sz w:val="22"/>
          <w:szCs w:val="22"/>
        </w:rPr>
        <w:t>ice</w:t>
      </w:r>
      <w:r>
        <w:rPr>
          <w:rFonts w:ascii="Century Gothic" w:eastAsia="Century Gothic" w:hAnsi="Century Gothic" w:cs="Century Gothic"/>
          <w:sz w:val="22"/>
          <w:szCs w:val="22"/>
        </w:rPr>
        <w:t xml:space="preserve"> lleva 20 años apostando fuerte por un entretenimiento galardonado y de primera clase. El sistema IFE ofrece ahora más de 6.500 canales de entretenimiento a la carta, 80 películas ganadoras del Oscar®, más de 2.000 películas, 650 programas de televisión y 4.000 horas de música, </w:t>
      </w:r>
      <w:r>
        <w:rPr>
          <w:rFonts w:ascii="Century Gothic" w:eastAsia="Century Gothic" w:hAnsi="Century Gothic" w:cs="Century Gothic"/>
          <w:i/>
          <w:sz w:val="22"/>
          <w:szCs w:val="22"/>
        </w:rPr>
        <w:t>podcasts</w:t>
      </w:r>
      <w:r>
        <w:rPr>
          <w:rFonts w:ascii="Century Gothic" w:eastAsia="Century Gothic" w:hAnsi="Century Gothic" w:cs="Century Gothic"/>
          <w:sz w:val="22"/>
          <w:szCs w:val="22"/>
        </w:rPr>
        <w:t xml:space="preserve"> y audiolibros en 40 idiomas, además de contenidos inigualables como entrevistas exclusivas en directo desde el espacio. En este caso, el cielo no es el límite para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w:t>
      </w:r>
      <w:r>
        <w:rPr>
          <w:rFonts w:ascii="Century Gothic" w:eastAsia="Century Gothic" w:hAnsi="Century Gothic" w:cs="Century Gothic"/>
          <w:i/>
          <w:sz w:val="22"/>
          <w:szCs w:val="22"/>
        </w:rPr>
        <w:t>ice</w:t>
      </w:r>
      <w:r>
        <w:rPr>
          <w:rFonts w:ascii="Century Gothic" w:eastAsia="Century Gothic" w:hAnsi="Century Gothic" w:cs="Century Gothic"/>
          <w:sz w:val="22"/>
          <w:szCs w:val="22"/>
        </w:rPr>
        <w:t>.</w:t>
      </w:r>
    </w:p>
    <w:p w14:paraId="493A32A7" w14:textId="77777777" w:rsidR="00514340"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i/>
          <w:color w:val="000000"/>
          <w:sz w:val="18"/>
          <w:szCs w:val="18"/>
        </w:rPr>
        <w:t xml:space="preserve">Acerca de </w:t>
      </w:r>
      <w:proofErr w:type="spellStart"/>
      <w:r>
        <w:rPr>
          <w:rFonts w:ascii="Century Gothic" w:eastAsia="Century Gothic" w:hAnsi="Century Gothic" w:cs="Century Gothic"/>
          <w:b/>
          <w:i/>
          <w:color w:val="000000"/>
          <w:sz w:val="18"/>
          <w:szCs w:val="18"/>
        </w:rPr>
        <w:t>Emirates</w:t>
      </w:r>
      <w:proofErr w:type="spellEnd"/>
    </w:p>
    <w:p w14:paraId="58B5FD8B" w14:textId="77777777" w:rsidR="00514340" w:rsidRDefault="00000000">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proofErr w:type="spellStart"/>
      <w:r>
        <w:rPr>
          <w:rFonts w:ascii="Century Gothic" w:eastAsia="Century Gothic" w:hAnsi="Century Gothic" w:cs="Century Gothic"/>
          <w:sz w:val="18"/>
          <w:szCs w:val="18"/>
        </w:rPr>
        <w:t>Emirates</w:t>
      </w:r>
      <w:proofErr w:type="spellEnd"/>
      <w:r>
        <w:rPr>
          <w:rFonts w:ascii="Century Gothic" w:eastAsia="Century Gothic" w:hAnsi="Century Gothic" w:cs="Century Gothic"/>
          <w:sz w:val="18"/>
          <w:szCs w:val="18"/>
        </w:rPr>
        <w:t xml:space="preserve">, la mayor aerolínea internacional de pasajeros, opera en España desde 2010. La compañía conecta a los viajeros españoles a través de su </w:t>
      </w:r>
      <w:proofErr w:type="spellStart"/>
      <w:proofErr w:type="gramStart"/>
      <w:r>
        <w:rPr>
          <w:rFonts w:ascii="Century Gothic" w:eastAsia="Century Gothic" w:hAnsi="Century Gothic" w:cs="Century Gothic"/>
          <w:sz w:val="18"/>
          <w:szCs w:val="18"/>
        </w:rPr>
        <w:t>hub</w:t>
      </w:r>
      <w:proofErr w:type="spellEnd"/>
      <w:proofErr w:type="gramEnd"/>
      <w:r>
        <w:rPr>
          <w:rFonts w:ascii="Century Gothic" w:eastAsia="Century Gothic" w:hAnsi="Century Gothic" w:cs="Century Gothic"/>
          <w:sz w:val="18"/>
          <w:szCs w:val="18"/>
        </w:rPr>
        <w:t xml:space="preserve"> global en Dubái con más de 130 destinos en todo el mundo. </w:t>
      </w:r>
      <w:proofErr w:type="spellStart"/>
      <w:r>
        <w:rPr>
          <w:rFonts w:ascii="Century Gothic" w:eastAsia="Century Gothic" w:hAnsi="Century Gothic" w:cs="Century Gothic"/>
          <w:sz w:val="18"/>
          <w:szCs w:val="18"/>
        </w:rPr>
        <w:t>Emirates</w:t>
      </w:r>
      <w:proofErr w:type="spellEnd"/>
      <w:r>
        <w:rPr>
          <w:rFonts w:ascii="Century Gothic" w:eastAsia="Century Gothic" w:hAnsi="Century Gothic" w:cs="Century Gothic"/>
          <w:sz w:val="18"/>
          <w:szCs w:val="18"/>
        </w:rPr>
        <w:t xml:space="preserve"> une Dubái con Madrid y Barcelona, así como también Ciudad de México vía Barcelona. </w:t>
      </w:r>
      <w:proofErr w:type="spellStart"/>
      <w:r>
        <w:rPr>
          <w:rFonts w:ascii="Century Gothic" w:eastAsia="Century Gothic" w:hAnsi="Century Gothic" w:cs="Century Gothic"/>
          <w:sz w:val="18"/>
          <w:szCs w:val="18"/>
        </w:rPr>
        <w:t>Emirates</w:t>
      </w:r>
      <w:proofErr w:type="spellEnd"/>
      <w:r>
        <w:rPr>
          <w:rFonts w:ascii="Century Gothic" w:eastAsia="Century Gothic" w:hAnsi="Century Gothic" w:cs="Century Gothic"/>
          <w:sz w:val="18"/>
          <w:szCs w:val="18"/>
        </w:rPr>
        <w:t xml:space="preserve"> ha conseguido el reconocimiento a la "Mejor Primera Clase del Mundo" en los premios Tripadvisor </w:t>
      </w:r>
      <w:proofErr w:type="spellStart"/>
      <w:r>
        <w:rPr>
          <w:rFonts w:ascii="Century Gothic" w:eastAsia="Century Gothic" w:hAnsi="Century Gothic" w:cs="Century Gothic"/>
          <w:sz w:val="18"/>
          <w:szCs w:val="18"/>
        </w:rPr>
        <w:t>Travelers</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Choice</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Awards</w:t>
      </w:r>
      <w:proofErr w:type="spellEnd"/>
      <w:r>
        <w:rPr>
          <w:rFonts w:ascii="Century Gothic" w:eastAsia="Century Gothic" w:hAnsi="Century Gothic" w:cs="Century Gothic"/>
          <w:sz w:val="18"/>
          <w:szCs w:val="18"/>
        </w:rPr>
        <w:t xml:space="preserve"> para aerolíneas en 2020; los galardones al "Mejor </w:t>
      </w:r>
      <w:proofErr w:type="spellStart"/>
      <w:r>
        <w:rPr>
          <w:rFonts w:ascii="Century Gothic" w:eastAsia="Century Gothic" w:hAnsi="Century Gothic" w:cs="Century Gothic"/>
          <w:sz w:val="18"/>
          <w:szCs w:val="18"/>
        </w:rPr>
        <w:t>Wi</w:t>
      </w:r>
      <w:proofErr w:type="spellEnd"/>
      <w:r>
        <w:rPr>
          <w:rFonts w:ascii="Century Gothic" w:eastAsia="Century Gothic" w:hAnsi="Century Gothic" w:cs="Century Gothic"/>
          <w:sz w:val="18"/>
          <w:szCs w:val="18"/>
        </w:rPr>
        <w:t xml:space="preserve">-Fi y Mejor Comida y Bebida" en Oriente Medio en los APEX Regional Passenger </w:t>
      </w:r>
      <w:proofErr w:type="spellStart"/>
      <w:r>
        <w:rPr>
          <w:rFonts w:ascii="Century Gothic" w:eastAsia="Century Gothic" w:hAnsi="Century Gothic" w:cs="Century Gothic"/>
          <w:sz w:val="18"/>
          <w:szCs w:val="18"/>
        </w:rPr>
        <w:t>Choice</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Awards</w:t>
      </w:r>
      <w:proofErr w:type="spellEnd"/>
      <w:r>
        <w:rPr>
          <w:rFonts w:ascii="Century Gothic" w:eastAsia="Century Gothic" w:hAnsi="Century Gothic" w:cs="Century Gothic"/>
          <w:sz w:val="18"/>
          <w:szCs w:val="18"/>
        </w:rPr>
        <w:t xml:space="preserve">® 2022; "Mejor Entretenimiento a </w:t>
      </w:r>
      <w:proofErr w:type="spellStart"/>
      <w:r>
        <w:rPr>
          <w:rFonts w:ascii="Century Gothic" w:eastAsia="Century Gothic" w:hAnsi="Century Gothic" w:cs="Century Gothic"/>
          <w:sz w:val="18"/>
          <w:szCs w:val="18"/>
        </w:rPr>
        <w:t>Bordo"en</w:t>
      </w:r>
      <w:proofErr w:type="spellEnd"/>
      <w:r>
        <w:rPr>
          <w:rFonts w:ascii="Century Gothic" w:eastAsia="Century Gothic" w:hAnsi="Century Gothic" w:cs="Century Gothic"/>
          <w:sz w:val="18"/>
          <w:szCs w:val="18"/>
        </w:rPr>
        <w:t xml:space="preserve"> los premios Business </w:t>
      </w:r>
      <w:proofErr w:type="spellStart"/>
      <w:r>
        <w:rPr>
          <w:rFonts w:ascii="Century Gothic" w:eastAsia="Century Gothic" w:hAnsi="Century Gothic" w:cs="Century Gothic"/>
          <w:sz w:val="18"/>
          <w:szCs w:val="18"/>
        </w:rPr>
        <w:t>Traveller</w:t>
      </w:r>
      <w:proofErr w:type="spellEnd"/>
      <w:r>
        <w:rPr>
          <w:rFonts w:ascii="Century Gothic" w:eastAsia="Century Gothic" w:hAnsi="Century Gothic" w:cs="Century Gothic"/>
          <w:sz w:val="18"/>
          <w:szCs w:val="18"/>
        </w:rPr>
        <w:t xml:space="preserve"> de 2020; y "Mejor Aerolínea del Mundo en Entretenimiento a Bordo" en los premios </w:t>
      </w:r>
      <w:proofErr w:type="spellStart"/>
      <w:r>
        <w:rPr>
          <w:rFonts w:ascii="Century Gothic" w:eastAsia="Century Gothic" w:hAnsi="Century Gothic" w:cs="Century Gothic"/>
          <w:sz w:val="18"/>
          <w:szCs w:val="18"/>
        </w:rPr>
        <w:t>SkyTrax</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World</w:t>
      </w:r>
      <w:proofErr w:type="spellEnd"/>
      <w:r>
        <w:rPr>
          <w:rFonts w:ascii="Century Gothic" w:eastAsia="Century Gothic" w:hAnsi="Century Gothic" w:cs="Century Gothic"/>
          <w:sz w:val="18"/>
          <w:szCs w:val="18"/>
        </w:rPr>
        <w:t xml:space="preserve"> Airlines de 2022.</w:t>
      </w:r>
    </w:p>
    <w:p w14:paraId="58CCA545" w14:textId="77777777" w:rsidR="00514340" w:rsidRDefault="00514340">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p>
    <w:sectPr w:rsidR="00514340">
      <w:headerReference w:type="default" r:id="rId8"/>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2E5F4" w14:textId="77777777" w:rsidR="00614A41" w:rsidRDefault="00614A41">
      <w:r>
        <w:separator/>
      </w:r>
    </w:p>
  </w:endnote>
  <w:endnote w:type="continuationSeparator" w:id="0">
    <w:p w14:paraId="5F494D07" w14:textId="77777777" w:rsidR="00614A41" w:rsidRDefault="00614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CC7AB" w14:textId="77777777" w:rsidR="00614A41" w:rsidRDefault="00614A41">
      <w:r>
        <w:separator/>
      </w:r>
    </w:p>
  </w:footnote>
  <w:footnote w:type="continuationSeparator" w:id="0">
    <w:p w14:paraId="2745235B" w14:textId="77777777" w:rsidR="00614A41" w:rsidRDefault="00614A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3DA18" w14:textId="77777777" w:rsidR="00514340" w:rsidRDefault="00000000">
    <w:pPr>
      <w:pBdr>
        <w:top w:val="nil"/>
        <w:left w:val="nil"/>
        <w:bottom w:val="nil"/>
        <w:right w:val="nil"/>
        <w:between w:val="nil"/>
      </w:pBdr>
      <w:tabs>
        <w:tab w:val="right" w:pos="8478"/>
      </w:tabs>
      <w:spacing w:after="200"/>
      <w:rPr>
        <w:rFonts w:ascii="Cambria" w:eastAsia="Cambria" w:hAnsi="Cambria" w:cs="Cambria"/>
        <w:color w:val="000000"/>
      </w:rPr>
    </w:pPr>
    <w:r>
      <w:rPr>
        <w:noProof/>
      </w:rPr>
      <w:drawing>
        <wp:anchor distT="0" distB="0" distL="0" distR="0" simplePos="0" relativeHeight="251658240" behindDoc="0" locked="0" layoutInCell="1" hidden="0" allowOverlap="1" wp14:anchorId="59E7244A" wp14:editId="136822FF">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4C92AA40" w14:textId="77777777" w:rsidR="00514340" w:rsidRDefault="00514340">
    <w:pPr>
      <w:pBdr>
        <w:top w:val="nil"/>
        <w:left w:val="nil"/>
        <w:bottom w:val="nil"/>
        <w:right w:val="nil"/>
        <w:between w:val="nil"/>
      </w:pBdr>
      <w:tabs>
        <w:tab w:val="right" w:pos="8478"/>
      </w:tabs>
      <w:spacing w:after="200"/>
      <w:rPr>
        <w:rFonts w:ascii="Cambria" w:eastAsia="Cambria" w:hAnsi="Cambria" w:cs="Cambria"/>
        <w:color w:val="000000"/>
      </w:rPr>
    </w:pPr>
  </w:p>
  <w:p w14:paraId="319A49CB" w14:textId="77777777" w:rsidR="00514340" w:rsidRDefault="00514340">
    <w:pPr>
      <w:pBdr>
        <w:top w:val="nil"/>
        <w:left w:val="nil"/>
        <w:bottom w:val="nil"/>
        <w:right w:val="nil"/>
        <w:between w:val="nil"/>
      </w:pBdr>
      <w:tabs>
        <w:tab w:val="right" w:pos="8478"/>
      </w:tabs>
      <w:spacing w:after="200"/>
      <w:rPr>
        <w:rFonts w:ascii="Cambria" w:eastAsia="Cambria" w:hAnsi="Cambria" w:cs="Cambria"/>
        <w:color w:val="000000"/>
      </w:rPr>
    </w:pPr>
  </w:p>
  <w:p w14:paraId="070DC3D8" w14:textId="77777777" w:rsidR="00514340" w:rsidRDefault="00514340">
    <w:pPr>
      <w:pBdr>
        <w:top w:val="nil"/>
        <w:left w:val="nil"/>
        <w:bottom w:val="nil"/>
        <w:right w:val="nil"/>
        <w:between w:val="nil"/>
      </w:pBdr>
      <w:tabs>
        <w:tab w:val="right" w:pos="8478"/>
      </w:tabs>
      <w:spacing w:after="200"/>
      <w:rPr>
        <w:rFonts w:ascii="Cambria" w:eastAsia="Cambria" w:hAnsi="Cambria" w:cs="Cambria"/>
        <w:color w:val="000000"/>
      </w:rPr>
    </w:pPr>
  </w:p>
  <w:p w14:paraId="361EF9CE" w14:textId="77777777" w:rsidR="00514340" w:rsidRDefault="00514340">
    <w:pPr>
      <w:pBdr>
        <w:top w:val="nil"/>
        <w:left w:val="nil"/>
        <w:bottom w:val="nil"/>
        <w:right w:val="nil"/>
        <w:between w:val="nil"/>
      </w:pBdr>
      <w:tabs>
        <w:tab w:val="right" w:pos="8478"/>
      </w:tabs>
      <w:spacing w:after="200"/>
      <w:rPr>
        <w:rFonts w:ascii="Cambria" w:eastAsia="Cambria" w:hAnsi="Cambria" w:cs="Cambria"/>
        <w:color w:val="000000"/>
      </w:rPr>
    </w:pPr>
  </w:p>
  <w:p w14:paraId="5D62207C" w14:textId="77777777" w:rsidR="00514340" w:rsidRDefault="00514340">
    <w:pPr>
      <w:pBdr>
        <w:top w:val="nil"/>
        <w:left w:val="nil"/>
        <w:bottom w:val="nil"/>
        <w:right w:val="nil"/>
        <w:between w:val="nil"/>
      </w:pBdr>
      <w:tabs>
        <w:tab w:val="right" w:pos="8478"/>
      </w:tabs>
      <w:spacing w:after="200"/>
      <w:rPr>
        <w:rFonts w:ascii="Cambria" w:eastAsia="Cambria" w:hAnsi="Cambria" w:cs="Cambria"/>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340"/>
    <w:rsid w:val="00064A64"/>
    <w:rsid w:val="00514340"/>
    <w:rsid w:val="00614A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0822F2F6"/>
  <w15:docId w15:val="{8D3CF8C9-6F21-0247-8DEF-41B41F648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paragraph" w:styleId="Prrafodelista">
    <w:name w:val="List Paragraph"/>
    <w:aliases w:val="numbered,Paragraphe de liste1,Bullet List,FooterText"/>
    <w:basedOn w:val="Normal"/>
    <w:link w:val="PrrafodelistaCar"/>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unhideWhenUsed/>
    <w:rsid w:val="001863FF"/>
    <w:pPr>
      <w:spacing w:before="100" w:beforeAutospacing="1" w:after="100" w:afterAutospacing="1"/>
    </w:pPr>
    <w:rPr>
      <w:rFonts w:ascii="Calibri" w:eastAsiaTheme="minorHAnsi" w:hAnsi="Calibri" w:cs="Calibri"/>
      <w:sz w:val="22"/>
      <w:szCs w:val="22"/>
      <w:lang w:val="en-GB"/>
    </w:rPr>
  </w:style>
  <w:style w:type="character" w:styleId="Textoennegrita">
    <w:name w:val="Strong"/>
    <w:basedOn w:val="Fuentedeprrafopredeter"/>
    <w:uiPriority w:val="22"/>
    <w:qFormat/>
    <w:rsid w:val="009368A3"/>
    <w:rPr>
      <w:b/>
      <w:bCs/>
    </w:rPr>
  </w:style>
  <w:style w:type="character" w:styleId="Mencinsinresolver">
    <w:name w:val="Unresolved Mention"/>
    <w:basedOn w:val="Fuentedeprrafopredeter"/>
    <w:uiPriority w:val="99"/>
    <w:semiHidden/>
    <w:unhideWhenUsed/>
    <w:rsid w:val="005647D6"/>
    <w:rPr>
      <w:color w:val="605E5C"/>
      <w:shd w:val="clear" w:color="auto" w:fill="E1DFDD"/>
    </w:rPr>
  </w:style>
  <w:style w:type="paragraph" w:styleId="Textocomentario">
    <w:name w:val="annotation text"/>
    <w:basedOn w:val="Normal"/>
    <w:link w:val="TextocomentarioCar"/>
    <w:uiPriority w:val="99"/>
    <w:semiHidden/>
    <w:unhideWhenUsed/>
    <w:rsid w:val="005647D6"/>
    <w:pPr>
      <w:spacing w:after="160"/>
    </w:pPr>
    <w:rPr>
      <w:rFonts w:asciiTheme="minorHAnsi" w:eastAsiaTheme="minorEastAsia" w:hAnsiTheme="minorHAnsi" w:cstheme="minorBidi"/>
      <w:sz w:val="20"/>
      <w:szCs w:val="20"/>
      <w:lang w:val="en-GB" w:eastAsia="zh-CN"/>
    </w:rPr>
  </w:style>
  <w:style w:type="character" w:customStyle="1" w:styleId="TextocomentarioCar">
    <w:name w:val="Texto comentario Car"/>
    <w:basedOn w:val="Fuentedeprrafopredeter"/>
    <w:link w:val="Textocomentario"/>
    <w:uiPriority w:val="99"/>
    <w:semiHidden/>
    <w:rsid w:val="005647D6"/>
    <w:rPr>
      <w:rFonts w:asciiTheme="minorHAnsi" w:eastAsiaTheme="minorEastAsia" w:hAnsiTheme="minorHAnsi" w:cstheme="minorBidi"/>
      <w:sz w:val="20"/>
      <w:szCs w:val="20"/>
      <w:lang w:val="en-GB" w:eastAsia="zh-CN"/>
    </w:rPr>
  </w:style>
  <w:style w:type="character" w:customStyle="1" w:styleId="PrrafodelistaCar">
    <w:name w:val="Párrafo de lista Car"/>
    <w:aliases w:val="numbered Car,Paragraphe de liste1 Car,Bullet List Car,FooterText Car"/>
    <w:basedOn w:val="Fuentedeprrafopredeter"/>
    <w:link w:val="Prrafodelista"/>
    <w:uiPriority w:val="34"/>
    <w:locked/>
    <w:rsid w:val="005647D6"/>
  </w:style>
  <w:style w:type="character" w:customStyle="1" w:styleId="wordsection1Char">
    <w:name w:val="wordsection1 Char"/>
    <w:basedOn w:val="Fuentedeprrafopredeter"/>
    <w:link w:val="wordsection1"/>
    <w:uiPriority w:val="99"/>
    <w:locked/>
    <w:rsid w:val="005647D6"/>
    <w:rPr>
      <w:rFonts w:ascii="Calibri" w:hAnsi="Calibri" w:cs="Calibri"/>
    </w:rPr>
  </w:style>
  <w:style w:type="paragraph" w:customStyle="1" w:styleId="wordsection1">
    <w:name w:val="wordsection1"/>
    <w:basedOn w:val="Normal"/>
    <w:link w:val="wordsection1Char"/>
    <w:uiPriority w:val="99"/>
    <w:rsid w:val="005647D6"/>
    <w:rPr>
      <w:rFonts w:ascii="Calibri" w:hAnsi="Calibri" w:cs="Calibri"/>
    </w:rPr>
  </w:style>
  <w:style w:type="character" w:styleId="Refdecomentario">
    <w:name w:val="annotation reference"/>
    <w:basedOn w:val="Fuentedeprrafopredeter"/>
    <w:uiPriority w:val="99"/>
    <w:semiHidden/>
    <w:unhideWhenUsed/>
    <w:rsid w:val="005647D6"/>
    <w:rPr>
      <w:sz w:val="16"/>
      <w:szCs w:val="16"/>
    </w:rPr>
  </w:style>
  <w:style w:type="character" w:customStyle="1" w:styleId="normaltextrun">
    <w:name w:val="normaltextrun"/>
    <w:basedOn w:val="Fuentedeprrafopredeter"/>
    <w:rsid w:val="005647D6"/>
  </w:style>
  <w:style w:type="table" w:customStyle="1" w:styleId="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ensa@sergat.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tJE0zUpq8g+ENLQGyPioBKk8Yw==">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632</Words>
  <Characters>3163</Characters>
  <Application>Microsoft Office Word</Application>
  <DocSecurity>0</DocSecurity>
  <Lines>52</Lines>
  <Paragraphs>15</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3780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2</cp:revision>
  <dcterms:created xsi:type="dcterms:W3CDTF">2023-08-29T10:26:00Z</dcterms:created>
  <dcterms:modified xsi:type="dcterms:W3CDTF">2023-08-29T11:40:00Z</dcterms:modified>
  <cp:category/>
</cp:coreProperties>
</file>