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29B63" w14:textId="77777777" w:rsidR="00EC7828" w:rsidRDefault="00000000">
      <w:pPr>
        <w:pBdr>
          <w:top w:val="nil"/>
          <w:left w:val="nil"/>
          <w:bottom w:val="nil"/>
          <w:right w:val="nil"/>
          <w:between w:val="nil"/>
        </w:pBdr>
        <w:ind w:left="0" w:hanging="2"/>
        <w:rPr>
          <w:color w:val="000000"/>
          <w:sz w:val="18"/>
          <w:szCs w:val="18"/>
        </w:rPr>
      </w:pPr>
      <w:r>
        <w:rPr>
          <w:noProof/>
        </w:rPr>
        <w:drawing>
          <wp:anchor distT="0" distB="0" distL="114300" distR="114300" simplePos="0" relativeHeight="251658240" behindDoc="0" locked="0" layoutInCell="1" hidden="0" allowOverlap="1" wp14:anchorId="5AE2D819" wp14:editId="4B89309E">
            <wp:simplePos x="0" y="0"/>
            <wp:positionH relativeFrom="column">
              <wp:posOffset>3522345</wp:posOffset>
            </wp:positionH>
            <wp:positionV relativeFrom="paragraph">
              <wp:posOffset>635</wp:posOffset>
            </wp:positionV>
            <wp:extent cx="2286000" cy="3905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286000" cy="390525"/>
                    </a:xfrm>
                    <a:prstGeom prst="rect">
                      <a:avLst/>
                    </a:prstGeom>
                    <a:ln/>
                  </pic:spPr>
                </pic:pic>
              </a:graphicData>
            </a:graphic>
          </wp:anchor>
        </w:drawing>
      </w:r>
    </w:p>
    <w:p w14:paraId="472FFD61" w14:textId="77777777" w:rsidR="00EC7828" w:rsidRDefault="00000000">
      <w:pPr>
        <w:pBdr>
          <w:top w:val="nil"/>
          <w:left w:val="nil"/>
          <w:bottom w:val="nil"/>
          <w:right w:val="nil"/>
          <w:between w:val="nil"/>
        </w:pBdr>
        <w:ind w:left="0" w:hanging="2"/>
        <w:jc w:val="right"/>
        <w:rPr>
          <w:color w:val="000000"/>
          <w:sz w:val="18"/>
          <w:szCs w:val="18"/>
        </w:rPr>
      </w:pPr>
      <w:r>
        <w:rPr>
          <w:color w:val="000000"/>
          <w:sz w:val="18"/>
          <w:szCs w:val="18"/>
        </w:rPr>
        <w:t xml:space="preserve">  </w:t>
      </w:r>
    </w:p>
    <w:p w14:paraId="171858F8" w14:textId="77777777" w:rsidR="00EC7828" w:rsidRDefault="00EC7828">
      <w:pPr>
        <w:pBdr>
          <w:top w:val="nil"/>
          <w:left w:val="nil"/>
          <w:bottom w:val="nil"/>
          <w:right w:val="nil"/>
          <w:between w:val="nil"/>
        </w:pBdr>
        <w:ind w:left="0" w:hanging="2"/>
        <w:jc w:val="right"/>
        <w:rPr>
          <w:color w:val="000000"/>
          <w:sz w:val="18"/>
          <w:szCs w:val="18"/>
        </w:rPr>
      </w:pPr>
    </w:p>
    <w:p w14:paraId="1C19D6B2" w14:textId="77777777" w:rsidR="00EC7828" w:rsidRDefault="00000000">
      <w:pPr>
        <w:pBdr>
          <w:top w:val="nil"/>
          <w:left w:val="nil"/>
          <w:bottom w:val="nil"/>
          <w:right w:val="nil"/>
          <w:between w:val="nil"/>
        </w:pBdr>
        <w:ind w:left="0" w:hanging="2"/>
        <w:jc w:val="right"/>
        <w:rPr>
          <w:color w:val="000000"/>
          <w:sz w:val="18"/>
          <w:szCs w:val="18"/>
        </w:rPr>
      </w:pPr>
      <w:r>
        <w:rPr>
          <w:color w:val="000000"/>
          <w:sz w:val="18"/>
          <w:szCs w:val="18"/>
        </w:rPr>
        <w:t>Reservas España, Tel. 91 375 41 46</w:t>
      </w:r>
    </w:p>
    <w:p w14:paraId="264E31C6" w14:textId="77777777" w:rsidR="00EC7828" w:rsidRDefault="00000000">
      <w:pPr>
        <w:pBdr>
          <w:top w:val="nil"/>
          <w:left w:val="nil"/>
          <w:bottom w:val="nil"/>
          <w:right w:val="nil"/>
          <w:between w:val="nil"/>
        </w:pBdr>
        <w:ind w:left="0" w:hanging="2"/>
        <w:jc w:val="right"/>
        <w:rPr>
          <w:color w:val="0000FF"/>
          <w:sz w:val="18"/>
          <w:szCs w:val="18"/>
          <w:u w:val="single"/>
        </w:rPr>
      </w:pPr>
      <w:r>
        <w:rPr>
          <w:color w:val="000000"/>
          <w:sz w:val="18"/>
          <w:szCs w:val="18"/>
        </w:rPr>
        <w:t xml:space="preserve">Web: </w:t>
      </w:r>
      <w:r>
        <w:rPr>
          <w:color w:val="0000FF"/>
          <w:sz w:val="18"/>
          <w:szCs w:val="18"/>
          <w:u w:val="single"/>
        </w:rPr>
        <w:t>www.delta.com</w:t>
      </w:r>
    </w:p>
    <w:p w14:paraId="20D83ADE" w14:textId="77777777" w:rsidR="00EC7828" w:rsidRDefault="00EC7828">
      <w:pPr>
        <w:pBdr>
          <w:top w:val="nil"/>
          <w:left w:val="nil"/>
          <w:bottom w:val="nil"/>
          <w:right w:val="nil"/>
          <w:between w:val="nil"/>
        </w:pBdr>
        <w:ind w:left="0" w:hanging="2"/>
        <w:rPr>
          <w:color w:val="000000"/>
          <w:sz w:val="18"/>
          <w:szCs w:val="18"/>
        </w:rPr>
      </w:pPr>
    </w:p>
    <w:p w14:paraId="22572A7F" w14:textId="77777777" w:rsidR="00EC7828" w:rsidRPr="007269FA" w:rsidRDefault="00000000">
      <w:pPr>
        <w:pBdr>
          <w:top w:val="nil"/>
          <w:left w:val="nil"/>
          <w:bottom w:val="nil"/>
          <w:right w:val="nil"/>
          <w:between w:val="nil"/>
        </w:pBdr>
        <w:ind w:left="0" w:hanging="2"/>
        <w:rPr>
          <w:rFonts w:ascii="Century Gothic" w:eastAsia="Century Gothic" w:hAnsi="Century Gothic" w:cs="Century Gothic"/>
          <w:color w:val="000000"/>
          <w:sz w:val="18"/>
          <w:szCs w:val="18"/>
          <w:lang w:val="en-US"/>
        </w:rPr>
      </w:pPr>
      <w:proofErr w:type="spellStart"/>
      <w:r w:rsidRPr="007269FA">
        <w:rPr>
          <w:rFonts w:ascii="Century Gothic" w:eastAsia="Century Gothic" w:hAnsi="Century Gothic" w:cs="Century Gothic"/>
          <w:color w:val="000000"/>
          <w:sz w:val="18"/>
          <w:szCs w:val="18"/>
          <w:lang w:val="en-US"/>
        </w:rPr>
        <w:t>Sergat</w:t>
      </w:r>
      <w:proofErr w:type="spellEnd"/>
    </w:p>
    <w:p w14:paraId="0506076F" w14:textId="77777777" w:rsidR="00EC7828" w:rsidRPr="007269FA" w:rsidRDefault="00000000">
      <w:pPr>
        <w:pBdr>
          <w:top w:val="nil"/>
          <w:left w:val="nil"/>
          <w:bottom w:val="nil"/>
          <w:right w:val="nil"/>
          <w:between w:val="nil"/>
        </w:pBdr>
        <w:ind w:left="0" w:hanging="2"/>
        <w:rPr>
          <w:rFonts w:ascii="Century Gothic" w:eastAsia="Century Gothic" w:hAnsi="Century Gothic" w:cs="Century Gothic"/>
          <w:color w:val="000000"/>
          <w:sz w:val="18"/>
          <w:szCs w:val="18"/>
          <w:lang w:val="en-US"/>
        </w:rPr>
      </w:pPr>
      <w:r w:rsidRPr="007269FA">
        <w:rPr>
          <w:rFonts w:ascii="Century Gothic" w:eastAsia="Century Gothic" w:hAnsi="Century Gothic" w:cs="Century Gothic"/>
          <w:color w:val="000000"/>
          <w:sz w:val="18"/>
          <w:szCs w:val="18"/>
          <w:lang w:val="en-US"/>
        </w:rPr>
        <w:t>Tel.: 93 414 02 10</w:t>
      </w:r>
    </w:p>
    <w:p w14:paraId="5357D0C4" w14:textId="77777777" w:rsidR="00EC7828" w:rsidRPr="007269FA" w:rsidRDefault="00000000">
      <w:pPr>
        <w:pBdr>
          <w:top w:val="nil"/>
          <w:left w:val="nil"/>
          <w:bottom w:val="nil"/>
          <w:right w:val="nil"/>
          <w:between w:val="nil"/>
        </w:pBdr>
        <w:ind w:left="0" w:hanging="2"/>
        <w:rPr>
          <w:rFonts w:ascii="Century Gothic" w:eastAsia="Century Gothic" w:hAnsi="Century Gothic" w:cs="Century Gothic"/>
          <w:color w:val="000000"/>
          <w:sz w:val="18"/>
          <w:szCs w:val="18"/>
          <w:lang w:val="en-US"/>
        </w:rPr>
      </w:pPr>
      <w:r w:rsidRPr="007269FA">
        <w:rPr>
          <w:rFonts w:ascii="Century Gothic" w:eastAsia="Century Gothic" w:hAnsi="Century Gothic" w:cs="Century Gothic"/>
          <w:color w:val="000000"/>
          <w:sz w:val="18"/>
          <w:szCs w:val="18"/>
          <w:lang w:val="en-US"/>
        </w:rPr>
        <w:t xml:space="preserve">E-mail: </w:t>
      </w:r>
      <w:hyperlink r:id="rId8">
        <w:r w:rsidRPr="007269FA">
          <w:rPr>
            <w:rFonts w:ascii="Century Gothic" w:eastAsia="Century Gothic" w:hAnsi="Century Gothic" w:cs="Century Gothic"/>
            <w:color w:val="0000FF"/>
            <w:sz w:val="18"/>
            <w:szCs w:val="18"/>
            <w:u w:val="single"/>
            <w:lang w:val="en-US"/>
          </w:rPr>
          <w:t>prensa@sergat.com</w:t>
        </w:r>
      </w:hyperlink>
      <w:r w:rsidRPr="007269FA">
        <w:rPr>
          <w:rFonts w:ascii="Century Gothic" w:eastAsia="Century Gothic" w:hAnsi="Century Gothic" w:cs="Century Gothic"/>
          <w:color w:val="000000"/>
          <w:sz w:val="18"/>
          <w:szCs w:val="18"/>
          <w:lang w:val="en-US"/>
        </w:rPr>
        <w:t xml:space="preserve"> </w:t>
      </w:r>
    </w:p>
    <w:p w14:paraId="6AF0C5D1" w14:textId="77777777" w:rsidR="00EC7828" w:rsidRPr="007269FA" w:rsidRDefault="00000000">
      <w:pPr>
        <w:pBdr>
          <w:top w:val="nil"/>
          <w:left w:val="nil"/>
          <w:bottom w:val="nil"/>
          <w:right w:val="nil"/>
          <w:between w:val="nil"/>
        </w:pBdr>
        <w:spacing w:after="160"/>
        <w:ind w:left="0" w:hanging="2"/>
        <w:jc w:val="center"/>
        <w:rPr>
          <w:rFonts w:ascii="Century Gothic" w:eastAsia="Century Gothic" w:hAnsi="Century Gothic" w:cs="Century Gothic"/>
          <w:color w:val="000000"/>
          <w:lang w:val="en-US"/>
        </w:rPr>
      </w:pPr>
      <w:bookmarkStart w:id="0" w:name="_heading=h.gjdgxs" w:colFirst="0" w:colLast="0"/>
      <w:bookmarkEnd w:id="0"/>
      <w:r w:rsidRPr="007269FA">
        <w:rPr>
          <w:rFonts w:ascii="Century Gothic" w:eastAsia="Century Gothic" w:hAnsi="Century Gothic" w:cs="Century Gothic"/>
          <w:b/>
          <w:color w:val="000000"/>
          <w:lang w:val="en-US"/>
        </w:rPr>
        <w:t xml:space="preserve"> </w:t>
      </w:r>
    </w:p>
    <w:p w14:paraId="31E1E23B" w14:textId="77777777" w:rsidR="00EC7828" w:rsidRDefault="00000000">
      <w:pPr>
        <w:pBdr>
          <w:top w:val="nil"/>
          <w:left w:val="nil"/>
          <w:bottom w:val="nil"/>
          <w:right w:val="nil"/>
          <w:between w:val="nil"/>
        </w:pBdr>
        <w:spacing w:after="120"/>
        <w:ind w:left="0" w:hanging="2"/>
        <w:rPr>
          <w:rFonts w:ascii="Century Gothic" w:eastAsia="Century Gothic" w:hAnsi="Century Gothic" w:cs="Century Gothic"/>
          <w:color w:val="000000"/>
          <w:u w:val="single"/>
        </w:rPr>
      </w:pPr>
      <w:r>
        <w:rPr>
          <w:rFonts w:ascii="Century Gothic" w:eastAsia="Century Gothic" w:hAnsi="Century Gothic" w:cs="Century Gothic"/>
          <w:b/>
          <w:color w:val="000000"/>
          <w:u w:val="single"/>
        </w:rPr>
        <w:t>COMUNICADO DE PRENSA</w:t>
      </w:r>
    </w:p>
    <w:p w14:paraId="41B0BC4A" w14:textId="77777777" w:rsidR="00EC7828" w:rsidRDefault="00EC7828">
      <w:pPr>
        <w:pBdr>
          <w:top w:val="nil"/>
          <w:left w:val="nil"/>
          <w:bottom w:val="nil"/>
          <w:right w:val="nil"/>
          <w:between w:val="nil"/>
        </w:pBdr>
        <w:spacing w:after="120"/>
        <w:ind w:left="0" w:hanging="2"/>
        <w:rPr>
          <w:rFonts w:ascii="Century Gothic" w:eastAsia="Century Gothic" w:hAnsi="Century Gothic" w:cs="Century Gothic"/>
          <w:color w:val="000000"/>
          <w:u w:val="single"/>
        </w:rPr>
      </w:pPr>
    </w:p>
    <w:p w14:paraId="343427F8" w14:textId="77777777" w:rsidR="00EC7828" w:rsidRDefault="00000000">
      <w:pPr>
        <w:pBdr>
          <w:top w:val="nil"/>
          <w:left w:val="nil"/>
          <w:bottom w:val="nil"/>
          <w:right w:val="nil"/>
          <w:between w:val="nil"/>
        </w:pBdr>
        <w:spacing w:after="160" w:line="360" w:lineRule="auto"/>
        <w:ind w:left="0" w:hanging="2"/>
        <w:jc w:val="center"/>
        <w:rPr>
          <w:rFonts w:ascii="Century Gothic" w:eastAsia="Century Gothic" w:hAnsi="Century Gothic" w:cs="Century Gothic"/>
          <w:b/>
          <w:sz w:val="24"/>
          <w:szCs w:val="24"/>
        </w:rPr>
      </w:pPr>
      <w:r>
        <w:rPr>
          <w:rFonts w:ascii="Century Gothic" w:eastAsia="Century Gothic" w:hAnsi="Century Gothic" w:cs="Century Gothic"/>
          <w:b/>
          <w:color w:val="000000"/>
          <w:sz w:val="24"/>
          <w:szCs w:val="24"/>
        </w:rPr>
        <w:t xml:space="preserve">Delta tiñe de rosa el cielo en octubre para apoyar </w:t>
      </w:r>
      <w:r>
        <w:rPr>
          <w:rFonts w:ascii="Century Gothic" w:eastAsia="Century Gothic" w:hAnsi="Century Gothic" w:cs="Century Gothic"/>
          <w:b/>
          <w:sz w:val="24"/>
          <w:szCs w:val="24"/>
        </w:rPr>
        <w:t>la lucha contra el cáncer de mama</w:t>
      </w:r>
      <w:r>
        <w:rPr>
          <w:rFonts w:ascii="Century Gothic" w:eastAsia="Century Gothic" w:hAnsi="Century Gothic" w:cs="Century Gothic"/>
          <w:sz w:val="20"/>
          <w:szCs w:val="20"/>
        </w:rPr>
        <w:t xml:space="preserve">  </w:t>
      </w:r>
    </w:p>
    <w:p w14:paraId="4FEE1AB4" w14:textId="77777777" w:rsidR="00EC7828" w:rsidRDefault="00000000">
      <w:pPr>
        <w:pBdr>
          <w:top w:val="nil"/>
          <w:left w:val="nil"/>
          <w:bottom w:val="nil"/>
          <w:right w:val="nil"/>
          <w:between w:val="nil"/>
        </w:pBdr>
        <w:spacing w:after="160" w:line="360" w:lineRule="auto"/>
        <w:ind w:left="0"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 línea aérea ha recaudado desde 2005 más </w:t>
      </w:r>
      <w:r>
        <w:rPr>
          <w:rFonts w:ascii="Century Gothic" w:eastAsia="Century Gothic" w:hAnsi="Century Gothic" w:cs="Century Gothic"/>
          <w:color w:val="000000"/>
          <w:sz w:val="20"/>
          <w:szCs w:val="20"/>
        </w:rPr>
        <w:t xml:space="preserve">de 24 millones de dólares </w:t>
      </w:r>
      <w:r>
        <w:rPr>
          <w:rFonts w:ascii="Century Gothic" w:eastAsia="Century Gothic" w:hAnsi="Century Gothic" w:cs="Century Gothic"/>
          <w:sz w:val="20"/>
          <w:szCs w:val="20"/>
        </w:rPr>
        <w:t xml:space="preserve">en beneficio de diferentes proyectos de la </w:t>
      </w:r>
      <w:proofErr w:type="spellStart"/>
      <w:r>
        <w:rPr>
          <w:rFonts w:ascii="Century Gothic" w:eastAsia="Century Gothic" w:hAnsi="Century Gothic" w:cs="Century Gothic"/>
          <w:i/>
          <w:sz w:val="20"/>
          <w:szCs w:val="20"/>
        </w:rPr>
        <w:t>Breast</w:t>
      </w:r>
      <w:proofErr w:type="spellEnd"/>
      <w:r>
        <w:rPr>
          <w:rFonts w:ascii="Century Gothic" w:eastAsia="Century Gothic" w:hAnsi="Century Gothic" w:cs="Century Gothic"/>
          <w:i/>
          <w:sz w:val="20"/>
          <w:szCs w:val="20"/>
        </w:rPr>
        <w:t xml:space="preserve"> </w:t>
      </w:r>
      <w:proofErr w:type="spellStart"/>
      <w:r>
        <w:rPr>
          <w:rFonts w:ascii="Century Gothic" w:eastAsia="Century Gothic" w:hAnsi="Century Gothic" w:cs="Century Gothic"/>
          <w:i/>
          <w:sz w:val="20"/>
          <w:szCs w:val="20"/>
        </w:rPr>
        <w:t>Cancer</w:t>
      </w:r>
      <w:proofErr w:type="spellEnd"/>
      <w:r>
        <w:rPr>
          <w:rFonts w:ascii="Century Gothic" w:eastAsia="Century Gothic" w:hAnsi="Century Gothic" w:cs="Century Gothic"/>
          <w:i/>
          <w:sz w:val="20"/>
          <w:szCs w:val="20"/>
        </w:rPr>
        <w:t xml:space="preserve"> </w:t>
      </w:r>
      <w:proofErr w:type="spellStart"/>
      <w:r>
        <w:rPr>
          <w:rFonts w:ascii="Century Gothic" w:eastAsia="Century Gothic" w:hAnsi="Century Gothic" w:cs="Century Gothic"/>
          <w:i/>
          <w:sz w:val="20"/>
          <w:szCs w:val="20"/>
        </w:rPr>
        <w:t>Research</w:t>
      </w:r>
      <w:proofErr w:type="spellEnd"/>
      <w:r>
        <w:rPr>
          <w:rFonts w:ascii="Century Gothic" w:eastAsia="Century Gothic" w:hAnsi="Century Gothic" w:cs="Century Gothic"/>
          <w:i/>
          <w:sz w:val="20"/>
          <w:szCs w:val="20"/>
        </w:rPr>
        <w:t xml:space="preserve"> </w:t>
      </w:r>
      <w:proofErr w:type="spellStart"/>
      <w:r>
        <w:rPr>
          <w:rFonts w:ascii="Century Gothic" w:eastAsia="Century Gothic" w:hAnsi="Century Gothic" w:cs="Century Gothic"/>
          <w:i/>
          <w:sz w:val="20"/>
          <w:szCs w:val="20"/>
        </w:rPr>
        <w:t>Foundation</w:t>
      </w:r>
      <w:proofErr w:type="spellEnd"/>
      <w:r>
        <w:rPr>
          <w:rFonts w:ascii="Century Gothic" w:eastAsia="Century Gothic" w:hAnsi="Century Gothic" w:cs="Century Gothic"/>
          <w:sz w:val="20"/>
          <w:szCs w:val="20"/>
        </w:rPr>
        <w:t xml:space="preserve"> sobre esta dolencia</w:t>
      </w:r>
    </w:p>
    <w:p w14:paraId="7C833B69" w14:textId="77777777" w:rsidR="00EC7828" w:rsidRDefault="00EC7828">
      <w:pPr>
        <w:pBdr>
          <w:top w:val="nil"/>
          <w:left w:val="nil"/>
          <w:bottom w:val="nil"/>
          <w:right w:val="nil"/>
          <w:between w:val="nil"/>
        </w:pBdr>
        <w:spacing w:after="160" w:line="360" w:lineRule="auto"/>
        <w:ind w:left="0" w:hanging="2"/>
        <w:rPr>
          <w:rFonts w:ascii="Century Gothic" w:eastAsia="Century Gothic" w:hAnsi="Century Gothic" w:cs="Century Gothic"/>
          <w:sz w:val="20"/>
          <w:szCs w:val="20"/>
        </w:rPr>
      </w:pPr>
    </w:p>
    <w:p w14:paraId="518B2B0C"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sz w:val="20"/>
          <w:szCs w:val="20"/>
        </w:rPr>
      </w:pPr>
      <w:r>
        <w:rPr>
          <w:rFonts w:ascii="Century Gothic" w:eastAsia="Century Gothic" w:hAnsi="Century Gothic" w:cs="Century Gothic"/>
          <w:b/>
          <w:sz w:val="20"/>
          <w:szCs w:val="20"/>
        </w:rPr>
        <w:t>Atlanta, 4</w:t>
      </w:r>
      <w:r>
        <w:rPr>
          <w:rFonts w:ascii="Century Gothic" w:eastAsia="Century Gothic" w:hAnsi="Century Gothic" w:cs="Century Gothic"/>
          <w:b/>
          <w:color w:val="000000"/>
          <w:sz w:val="20"/>
          <w:szCs w:val="20"/>
        </w:rPr>
        <w:t xml:space="preserve"> de octubre de 2023.</w:t>
      </w:r>
      <w:r>
        <w:rPr>
          <w:rFonts w:ascii="Century Gothic" w:eastAsia="Century Gothic" w:hAnsi="Century Gothic" w:cs="Century Gothic"/>
          <w:color w:val="000000"/>
          <w:sz w:val="20"/>
          <w:szCs w:val="20"/>
        </w:rPr>
        <w:t xml:space="preserve"> Octubre es el mes dedicado a la concienciación sobre el cáncer de mama</w:t>
      </w:r>
      <w:r>
        <w:rPr>
          <w:rFonts w:ascii="Century Gothic" w:eastAsia="Century Gothic" w:hAnsi="Century Gothic" w:cs="Century Gothic"/>
          <w:sz w:val="20"/>
          <w:szCs w:val="20"/>
        </w:rPr>
        <w:t xml:space="preserve"> y, por ello, </w:t>
      </w:r>
      <w:r>
        <w:rPr>
          <w:rFonts w:ascii="Century Gothic" w:eastAsia="Century Gothic" w:hAnsi="Century Gothic" w:cs="Century Gothic"/>
          <w:color w:val="000000"/>
          <w:sz w:val="20"/>
          <w:szCs w:val="20"/>
        </w:rPr>
        <w:t xml:space="preserve">Delta se tiñe de rosa con una serie de iniciativas en todo el mundo </w:t>
      </w:r>
      <w:r>
        <w:rPr>
          <w:rFonts w:ascii="Century Gothic" w:eastAsia="Century Gothic" w:hAnsi="Century Gothic" w:cs="Century Gothic"/>
          <w:sz w:val="20"/>
          <w:szCs w:val="20"/>
        </w:rPr>
        <w:t>con el fin de</w:t>
      </w:r>
      <w:r>
        <w:rPr>
          <w:rFonts w:ascii="Century Gothic" w:eastAsia="Century Gothic" w:hAnsi="Century Gothic" w:cs="Century Gothic"/>
          <w:color w:val="000000"/>
          <w:sz w:val="20"/>
          <w:szCs w:val="20"/>
        </w:rPr>
        <w:t xml:space="preserve"> recaudar fondos </w:t>
      </w:r>
      <w:r>
        <w:rPr>
          <w:rFonts w:ascii="Century Gothic" w:eastAsia="Century Gothic" w:hAnsi="Century Gothic" w:cs="Century Gothic"/>
          <w:sz w:val="20"/>
          <w:szCs w:val="20"/>
        </w:rPr>
        <w:t xml:space="preserve">para la </w:t>
      </w:r>
      <w:r>
        <w:rPr>
          <w:rFonts w:ascii="Century Gothic" w:eastAsia="Century Gothic" w:hAnsi="Century Gothic" w:cs="Century Gothic"/>
          <w:color w:val="000000"/>
          <w:sz w:val="20"/>
          <w:szCs w:val="20"/>
        </w:rPr>
        <w:t xml:space="preserve">organización sin ánimo de lucro </w:t>
      </w:r>
      <w:proofErr w:type="spellStart"/>
      <w:r>
        <w:rPr>
          <w:rFonts w:ascii="Century Gothic" w:eastAsia="Century Gothic" w:hAnsi="Century Gothic" w:cs="Century Gothic"/>
          <w:i/>
          <w:color w:val="000000"/>
          <w:sz w:val="20"/>
          <w:szCs w:val="20"/>
        </w:rPr>
        <w:t>Breast</w:t>
      </w:r>
      <w:proofErr w:type="spellEnd"/>
      <w:r>
        <w:rPr>
          <w:rFonts w:ascii="Century Gothic" w:eastAsia="Century Gothic" w:hAnsi="Century Gothic" w:cs="Century Gothic"/>
          <w:i/>
          <w:color w:val="000000"/>
          <w:sz w:val="20"/>
          <w:szCs w:val="20"/>
        </w:rPr>
        <w:t xml:space="preserve"> </w:t>
      </w:r>
      <w:proofErr w:type="spellStart"/>
      <w:r>
        <w:rPr>
          <w:rFonts w:ascii="Century Gothic" w:eastAsia="Century Gothic" w:hAnsi="Century Gothic" w:cs="Century Gothic"/>
          <w:i/>
          <w:color w:val="000000"/>
          <w:sz w:val="20"/>
          <w:szCs w:val="20"/>
        </w:rPr>
        <w:t>Cancer</w:t>
      </w:r>
      <w:proofErr w:type="spellEnd"/>
      <w:r>
        <w:rPr>
          <w:rFonts w:ascii="Century Gothic" w:eastAsia="Century Gothic" w:hAnsi="Century Gothic" w:cs="Century Gothic"/>
          <w:i/>
          <w:color w:val="000000"/>
          <w:sz w:val="20"/>
          <w:szCs w:val="20"/>
        </w:rPr>
        <w:t xml:space="preserve"> </w:t>
      </w:r>
      <w:proofErr w:type="spellStart"/>
      <w:r>
        <w:rPr>
          <w:rFonts w:ascii="Century Gothic" w:eastAsia="Century Gothic" w:hAnsi="Century Gothic" w:cs="Century Gothic"/>
          <w:i/>
          <w:color w:val="000000"/>
          <w:sz w:val="20"/>
          <w:szCs w:val="20"/>
        </w:rPr>
        <w:t>Research</w:t>
      </w:r>
      <w:proofErr w:type="spellEnd"/>
      <w:r>
        <w:rPr>
          <w:rFonts w:ascii="Century Gothic" w:eastAsia="Century Gothic" w:hAnsi="Century Gothic" w:cs="Century Gothic"/>
          <w:i/>
          <w:color w:val="000000"/>
          <w:sz w:val="20"/>
          <w:szCs w:val="20"/>
        </w:rPr>
        <w:t xml:space="preserve"> </w:t>
      </w:r>
      <w:proofErr w:type="spellStart"/>
      <w:r>
        <w:rPr>
          <w:rFonts w:ascii="Century Gothic" w:eastAsia="Century Gothic" w:hAnsi="Century Gothic" w:cs="Century Gothic"/>
          <w:i/>
          <w:color w:val="000000"/>
          <w:sz w:val="20"/>
          <w:szCs w:val="20"/>
        </w:rPr>
        <w:t>Foundation</w:t>
      </w:r>
      <w:proofErr w:type="spellEnd"/>
      <w:r>
        <w:rPr>
          <w:rFonts w:ascii="Century Gothic" w:eastAsia="Century Gothic" w:hAnsi="Century Gothic" w:cs="Century Gothic"/>
          <w:sz w:val="20"/>
          <w:szCs w:val="20"/>
        </w:rPr>
        <w:t xml:space="preserve"> </w:t>
      </w:r>
      <w:r>
        <w:rPr>
          <w:rFonts w:ascii="Century Gothic" w:eastAsia="Century Gothic" w:hAnsi="Century Gothic" w:cs="Century Gothic"/>
          <w:color w:val="000000"/>
          <w:sz w:val="20"/>
          <w:szCs w:val="20"/>
        </w:rPr>
        <w:t>(BCRF), la m</w:t>
      </w:r>
      <w:r>
        <w:rPr>
          <w:rFonts w:ascii="Century Gothic" w:eastAsia="Century Gothic" w:hAnsi="Century Gothic" w:cs="Century Gothic"/>
          <w:sz w:val="20"/>
          <w:szCs w:val="20"/>
        </w:rPr>
        <w:t xml:space="preserve">ás prestigiosa </w:t>
      </w:r>
      <w:r>
        <w:rPr>
          <w:rFonts w:ascii="Century Gothic" w:eastAsia="Century Gothic" w:hAnsi="Century Gothic" w:cs="Century Gothic"/>
          <w:color w:val="000000"/>
          <w:sz w:val="20"/>
          <w:szCs w:val="20"/>
        </w:rPr>
        <w:t>organi</w:t>
      </w:r>
      <w:r>
        <w:rPr>
          <w:rFonts w:ascii="Century Gothic" w:eastAsia="Century Gothic" w:hAnsi="Century Gothic" w:cs="Century Gothic"/>
          <w:sz w:val="20"/>
          <w:szCs w:val="20"/>
        </w:rPr>
        <w:t>zación dedicada a la investigación del cáncer de mama en Estados Unidos</w:t>
      </w:r>
      <w:r>
        <w:rPr>
          <w:rFonts w:ascii="Century Gothic" w:eastAsia="Century Gothic" w:hAnsi="Century Gothic" w:cs="Century Gothic"/>
          <w:color w:val="000000"/>
          <w:sz w:val="20"/>
          <w:szCs w:val="20"/>
        </w:rPr>
        <w:t>.</w:t>
      </w:r>
    </w:p>
    <w:p w14:paraId="62FF4798"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El apoyo de Delta a la BCRF se remonta a 2005. Desde entonces, los empleados y clientes de Delta han contribuido a </w:t>
      </w:r>
      <w:r>
        <w:rPr>
          <w:rFonts w:ascii="Century Gothic" w:eastAsia="Century Gothic" w:hAnsi="Century Gothic" w:cs="Century Gothic"/>
          <w:sz w:val="20"/>
          <w:szCs w:val="20"/>
        </w:rPr>
        <w:t>recaudar</w:t>
      </w:r>
      <w:r>
        <w:rPr>
          <w:rFonts w:ascii="Century Gothic" w:eastAsia="Century Gothic" w:hAnsi="Century Gothic" w:cs="Century Gothic"/>
          <w:color w:val="000000"/>
          <w:sz w:val="20"/>
          <w:szCs w:val="20"/>
        </w:rPr>
        <w:t xml:space="preserve"> más de 24 millones de dólares, incluidos </w:t>
      </w:r>
      <w:r>
        <w:rPr>
          <w:rFonts w:ascii="Century Gothic" w:eastAsia="Century Gothic" w:hAnsi="Century Gothic" w:cs="Century Gothic"/>
          <w:sz w:val="20"/>
          <w:szCs w:val="20"/>
        </w:rPr>
        <w:t>tres</w:t>
      </w:r>
      <w:r>
        <w:rPr>
          <w:rFonts w:ascii="Century Gothic" w:eastAsia="Century Gothic" w:hAnsi="Century Gothic" w:cs="Century Gothic"/>
          <w:color w:val="000000"/>
          <w:sz w:val="20"/>
          <w:szCs w:val="20"/>
        </w:rPr>
        <w:t xml:space="preserve"> millones recaudados en 2022, ayudando a financiar 99 proyectos de investigación. </w:t>
      </w:r>
    </w:p>
    <w:p w14:paraId="766A830F"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 lo largo de</w:t>
      </w:r>
      <w:r>
        <w:rPr>
          <w:rFonts w:ascii="Century Gothic" w:eastAsia="Century Gothic" w:hAnsi="Century Gothic" w:cs="Century Gothic"/>
          <w:sz w:val="20"/>
          <w:szCs w:val="20"/>
        </w:rPr>
        <w:t xml:space="preserve"> todo el mes de octubre</w:t>
      </w:r>
      <w:r>
        <w:rPr>
          <w:rFonts w:ascii="Century Gothic" w:eastAsia="Century Gothic" w:hAnsi="Century Gothic" w:cs="Century Gothic"/>
          <w:color w:val="000000"/>
          <w:sz w:val="20"/>
          <w:szCs w:val="20"/>
        </w:rPr>
        <w:t xml:space="preserve">, los empleados de Delta, en los 4.000 vuelos diarios de la </w:t>
      </w:r>
      <w:r>
        <w:rPr>
          <w:rFonts w:ascii="Century Gothic" w:eastAsia="Century Gothic" w:hAnsi="Century Gothic" w:cs="Century Gothic"/>
          <w:sz w:val="20"/>
          <w:szCs w:val="20"/>
        </w:rPr>
        <w:t>línea aérea -tanto en puestos de cara al público como los que prestan servicio internamente-</w:t>
      </w:r>
      <w:r>
        <w:rPr>
          <w:rFonts w:ascii="Century Gothic" w:eastAsia="Century Gothic" w:hAnsi="Century Gothic" w:cs="Century Gothic"/>
          <w:color w:val="000000"/>
          <w:sz w:val="20"/>
          <w:szCs w:val="20"/>
        </w:rPr>
        <w:t xml:space="preserve"> lucirán uniformes rosas, se servirá limonada rosa especial a bordo y se podrá adquirir artículos especiales de temática rosa, como gorras, bufandas y camisetas, cuya recaudación se destinará íntegramente a apoyar a la BCRF. Los clientes podrán comprar los artículos en divisas o, si lo prefieren, hacer un donativo a la causa. </w:t>
      </w:r>
    </w:p>
    <w:p w14:paraId="6F32C56A"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El cáncer de mama es el más frecuente en el mundo, con más de 2,26 millones de nuevos casos en 2020. Aproximadamente 32.000 nuevos casos de cáncer de mama se diagnosticarán en España a lo largo del presente año, siendo el segundo cáncer más diagnosticado tras el de colon y recto, según datos de la Sociedad Española de Oncología Médica.</w:t>
      </w:r>
    </w:p>
    <w:p w14:paraId="09CC742A"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i/>
          <w:color w:val="000000"/>
          <w:sz w:val="20"/>
          <w:szCs w:val="20"/>
        </w:rPr>
      </w:pPr>
      <w:r>
        <w:rPr>
          <w:rFonts w:ascii="Century Gothic" w:eastAsia="Century Gothic" w:hAnsi="Century Gothic" w:cs="Century Gothic"/>
          <w:i/>
          <w:color w:val="000000"/>
          <w:sz w:val="20"/>
          <w:szCs w:val="20"/>
        </w:rPr>
        <w:lastRenderedPageBreak/>
        <w:t>"</w:t>
      </w:r>
      <w:r>
        <w:rPr>
          <w:rFonts w:ascii="Century Gothic" w:eastAsia="Century Gothic" w:hAnsi="Century Gothic" w:cs="Century Gothic"/>
          <w:i/>
          <w:sz w:val="20"/>
          <w:szCs w:val="20"/>
        </w:rPr>
        <w:t>Dar</w:t>
      </w:r>
      <w:r>
        <w:rPr>
          <w:rFonts w:ascii="Century Gothic" w:eastAsia="Century Gothic" w:hAnsi="Century Gothic" w:cs="Century Gothic"/>
          <w:i/>
          <w:color w:val="000000"/>
          <w:sz w:val="20"/>
          <w:szCs w:val="20"/>
        </w:rPr>
        <w:t xml:space="preserve"> está en el ADN de Delta y </w:t>
      </w:r>
      <w:r>
        <w:rPr>
          <w:rFonts w:ascii="Century Gothic" w:eastAsia="Century Gothic" w:hAnsi="Century Gothic" w:cs="Century Gothic"/>
          <w:i/>
          <w:sz w:val="20"/>
          <w:szCs w:val="20"/>
        </w:rPr>
        <w:t xml:space="preserve">su equipo humano. Entre sus empleados, </w:t>
      </w:r>
      <w:r>
        <w:rPr>
          <w:rFonts w:ascii="Century Gothic" w:eastAsia="Century Gothic" w:hAnsi="Century Gothic" w:cs="Century Gothic"/>
          <w:i/>
          <w:color w:val="000000"/>
          <w:sz w:val="20"/>
          <w:szCs w:val="20"/>
        </w:rPr>
        <w:t xml:space="preserve">muchos </w:t>
      </w:r>
      <w:r>
        <w:rPr>
          <w:rFonts w:ascii="Century Gothic" w:eastAsia="Century Gothic" w:hAnsi="Century Gothic" w:cs="Century Gothic"/>
          <w:i/>
          <w:sz w:val="20"/>
          <w:szCs w:val="20"/>
        </w:rPr>
        <w:t xml:space="preserve">se han visto afectados </w:t>
      </w:r>
      <w:r>
        <w:rPr>
          <w:rFonts w:ascii="Century Gothic" w:eastAsia="Century Gothic" w:hAnsi="Century Gothic" w:cs="Century Gothic"/>
          <w:i/>
          <w:color w:val="000000"/>
          <w:sz w:val="20"/>
          <w:szCs w:val="20"/>
        </w:rPr>
        <w:t>directamente por el cáncer de mama, y el</w:t>
      </w:r>
      <w:r>
        <w:rPr>
          <w:rFonts w:ascii="Century Gothic" w:eastAsia="Century Gothic" w:hAnsi="Century Gothic" w:cs="Century Gothic"/>
          <w:i/>
          <w:sz w:val="20"/>
          <w:szCs w:val="20"/>
        </w:rPr>
        <w:t xml:space="preserve">los, junto al resto del equipo, </w:t>
      </w:r>
      <w:r>
        <w:rPr>
          <w:rFonts w:ascii="Century Gothic" w:eastAsia="Century Gothic" w:hAnsi="Century Gothic" w:cs="Century Gothic"/>
          <w:i/>
          <w:color w:val="000000"/>
          <w:sz w:val="20"/>
          <w:szCs w:val="20"/>
        </w:rPr>
        <w:t xml:space="preserve">son la fuerza impulsora </w:t>
      </w:r>
      <w:r>
        <w:rPr>
          <w:rFonts w:ascii="Century Gothic" w:eastAsia="Century Gothic" w:hAnsi="Century Gothic" w:cs="Century Gothic"/>
          <w:i/>
          <w:sz w:val="20"/>
          <w:szCs w:val="20"/>
        </w:rPr>
        <w:t>tras</w:t>
      </w:r>
      <w:r>
        <w:rPr>
          <w:rFonts w:ascii="Century Gothic" w:eastAsia="Century Gothic" w:hAnsi="Century Gothic" w:cs="Century Gothic"/>
          <w:i/>
          <w:color w:val="000000"/>
          <w:sz w:val="20"/>
          <w:szCs w:val="20"/>
        </w:rPr>
        <w:t xml:space="preserve"> nuestra recaudación</w:t>
      </w:r>
      <w:r>
        <w:rPr>
          <w:rFonts w:ascii="Century Gothic" w:eastAsia="Century Gothic" w:hAnsi="Century Gothic" w:cs="Century Gothic"/>
          <w:i/>
          <w:sz w:val="20"/>
          <w:szCs w:val="20"/>
        </w:rPr>
        <w:t xml:space="preserve"> </w:t>
      </w:r>
      <w:r>
        <w:rPr>
          <w:rFonts w:ascii="Century Gothic" w:eastAsia="Century Gothic" w:hAnsi="Century Gothic" w:cs="Century Gothic"/>
          <w:i/>
          <w:color w:val="000000"/>
          <w:sz w:val="20"/>
          <w:szCs w:val="20"/>
        </w:rPr>
        <w:t>de fondos anual para BCRF"</w:t>
      </w:r>
      <w:r>
        <w:rPr>
          <w:rFonts w:ascii="Century Gothic" w:eastAsia="Century Gothic" w:hAnsi="Century Gothic" w:cs="Century Gothic"/>
          <w:color w:val="000000"/>
          <w:sz w:val="20"/>
          <w:szCs w:val="20"/>
        </w:rPr>
        <w:t xml:space="preserve">, ha declarado </w:t>
      </w:r>
      <w:r>
        <w:rPr>
          <w:rFonts w:ascii="Century Gothic" w:eastAsia="Century Gothic" w:hAnsi="Century Gothic" w:cs="Century Gothic"/>
          <w:sz w:val="20"/>
          <w:szCs w:val="20"/>
        </w:rPr>
        <w:t xml:space="preserve">Frederic </w:t>
      </w:r>
      <w:proofErr w:type="spellStart"/>
      <w:r>
        <w:rPr>
          <w:rFonts w:ascii="Century Gothic" w:eastAsia="Century Gothic" w:hAnsi="Century Gothic" w:cs="Century Gothic"/>
          <w:sz w:val="20"/>
          <w:szCs w:val="20"/>
        </w:rPr>
        <w:t>Schenk</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Dlos</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irector</w:t>
      </w:r>
      <w:proofErr w:type="spellEnd"/>
      <w:r>
        <w:rPr>
          <w:rFonts w:ascii="Century Gothic" w:eastAsia="Century Gothic" w:hAnsi="Century Gothic" w:cs="Century Gothic"/>
          <w:sz w:val="20"/>
          <w:szCs w:val="20"/>
        </w:rPr>
        <w:t xml:space="preserve"> de ventas para el sur de Europa de 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color w:val="000000"/>
          <w:sz w:val="20"/>
          <w:szCs w:val="20"/>
        </w:rPr>
        <w:t xml:space="preserve">. </w:t>
      </w:r>
      <w:r>
        <w:rPr>
          <w:rFonts w:ascii="Century Gothic" w:eastAsia="Century Gothic" w:hAnsi="Century Gothic" w:cs="Century Gothic"/>
          <w:i/>
          <w:color w:val="000000"/>
          <w:sz w:val="20"/>
          <w:szCs w:val="20"/>
        </w:rPr>
        <w:t>"Desde participar en eventos de temática rosa en el aeropuerto, hasta tomar limonada rosa a bordo del icónico avión rosa de Delta en determinados vuelos transatlánticos, estamos uniendo a nuestra gente, amigos, familias y clientes en el trabajo de Delta para apoyar a la BCRF y acercarnos a una cura de esta enfermedad"</w:t>
      </w:r>
      <w:r>
        <w:rPr>
          <w:rFonts w:ascii="Century Gothic" w:eastAsia="Century Gothic" w:hAnsi="Century Gothic" w:cs="Century Gothic"/>
          <w:i/>
          <w:sz w:val="20"/>
          <w:szCs w:val="20"/>
        </w:rPr>
        <w:t xml:space="preserve">, añadió </w:t>
      </w:r>
      <w:proofErr w:type="spellStart"/>
      <w:r>
        <w:rPr>
          <w:rFonts w:ascii="Century Gothic" w:eastAsia="Century Gothic" w:hAnsi="Century Gothic" w:cs="Century Gothic"/>
          <w:i/>
          <w:sz w:val="20"/>
          <w:szCs w:val="20"/>
        </w:rPr>
        <w:t>Schenk</w:t>
      </w:r>
      <w:proofErr w:type="spellEnd"/>
      <w:r>
        <w:rPr>
          <w:rFonts w:ascii="Century Gothic" w:eastAsia="Century Gothic" w:hAnsi="Century Gothic" w:cs="Century Gothic"/>
          <w:i/>
          <w:sz w:val="20"/>
          <w:szCs w:val="20"/>
        </w:rPr>
        <w:t>.</w:t>
      </w:r>
    </w:p>
    <w:p w14:paraId="03911E18"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Para aquellos que deseen apoyar los esfuerzos de recaudación de fondos de Delta para la BCRF, la </w:t>
      </w:r>
      <w:hyperlink r:id="rId9">
        <w:proofErr w:type="spellStart"/>
        <w:r>
          <w:rPr>
            <w:rFonts w:ascii="Century Gothic" w:eastAsia="Century Gothic" w:hAnsi="Century Gothic" w:cs="Century Gothic"/>
            <w:color w:val="1155CC"/>
            <w:sz w:val="20"/>
            <w:szCs w:val="20"/>
            <w:u w:val="single"/>
          </w:rPr>
          <w:t>SkyBoutique</w:t>
        </w:r>
        <w:proofErr w:type="spellEnd"/>
      </w:hyperlink>
      <w:r>
        <w:rPr>
          <w:rFonts w:ascii="Century Gothic" w:eastAsia="Century Gothic" w:hAnsi="Century Gothic" w:cs="Century Gothic"/>
          <w:color w:val="000000"/>
          <w:sz w:val="20"/>
          <w:szCs w:val="20"/>
        </w:rPr>
        <w:t xml:space="preserve"> de la </w:t>
      </w:r>
      <w:r>
        <w:rPr>
          <w:rFonts w:ascii="Century Gothic" w:eastAsia="Century Gothic" w:hAnsi="Century Gothic" w:cs="Century Gothic"/>
          <w:sz w:val="20"/>
          <w:szCs w:val="20"/>
        </w:rPr>
        <w:t>línea aérea</w:t>
      </w:r>
      <w:r>
        <w:rPr>
          <w:rFonts w:ascii="Century Gothic" w:eastAsia="Century Gothic" w:hAnsi="Century Gothic" w:cs="Century Gothic"/>
          <w:color w:val="000000"/>
          <w:sz w:val="20"/>
          <w:szCs w:val="20"/>
        </w:rPr>
        <w:t xml:space="preserve"> pone a la venta artículos de temática rosa de Delta y de la BCRF, cuyos beneficios se destinarán a la BCRF.</w:t>
      </w:r>
    </w:p>
    <w:p w14:paraId="713C1FFC"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proofErr w:type="gramStart"/>
      <w:r>
        <w:rPr>
          <w:rFonts w:ascii="Century Gothic" w:eastAsia="Century Gothic" w:hAnsi="Century Gothic" w:cs="Century Gothic"/>
          <w:color w:val="000000"/>
          <w:sz w:val="20"/>
          <w:szCs w:val="20"/>
        </w:rPr>
        <w:t>.</w:t>
      </w:r>
      <w:r>
        <w:rPr>
          <w:rFonts w:ascii="Century Gothic" w:eastAsia="Century Gothic" w:hAnsi="Century Gothic" w:cs="Century Gothic"/>
          <w:b/>
          <w:i/>
          <w:color w:val="000000"/>
          <w:sz w:val="16"/>
          <w:szCs w:val="16"/>
        </w:rPr>
        <w:t>Acerca</w:t>
      </w:r>
      <w:proofErr w:type="gramEnd"/>
      <w:r>
        <w:rPr>
          <w:rFonts w:ascii="Century Gothic" w:eastAsia="Century Gothic" w:hAnsi="Century Gothic" w:cs="Century Gothic"/>
          <w:b/>
          <w:i/>
          <w:color w:val="000000"/>
          <w:sz w:val="16"/>
          <w:szCs w:val="16"/>
        </w:rPr>
        <w:t xml:space="preserve"> de Delta</w:t>
      </w:r>
    </w:p>
    <w:p w14:paraId="2AA3F944"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Más de 90.000 empleados de Delta se encargan de ofrecer una experiencia de primera clase al cliente en más de 4.000 vuelos diarios a más de 275 destinos en seis continentes, conectando a las personas con los lugares y entre sí.</w:t>
      </w:r>
    </w:p>
    <w:p w14:paraId="6F9E5CC6"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Delta se compromete a prestar servicio a 200 millones de clientes al año, con un servicio al cliente, seguridad, innovación y fiabilidad líderes en el sector, reconocida como la aerolínea más puntual de Norteamérica. Nos dedicamos a garantizar que el futuro de los viajes sea conectado, personalizado y agradable. La motivación genuina y duradera de nuestro personal es hacer que cada cliente se sienta bienvenido y respetado en cada momento de su viaje con nosotros.</w:t>
      </w:r>
    </w:p>
    <w:p w14:paraId="295A052D"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Con sede central en Atlanta, Delta opera importantes centros de operaciones y mercados clave en Ámsterdam, Atlanta, Boston, Detroit, Londres-Heathrow, Los Ángeles, Ciudad de México, Minneapolis-St. Paul, Nueva York-JFK y </w:t>
      </w:r>
      <w:proofErr w:type="spellStart"/>
      <w:r>
        <w:rPr>
          <w:rFonts w:ascii="Century Gothic" w:eastAsia="Century Gothic" w:hAnsi="Century Gothic" w:cs="Century Gothic"/>
          <w:color w:val="000000"/>
          <w:sz w:val="16"/>
          <w:szCs w:val="16"/>
        </w:rPr>
        <w:t>LaGuardia</w:t>
      </w:r>
      <w:proofErr w:type="spellEnd"/>
      <w:r>
        <w:rPr>
          <w:rFonts w:ascii="Century Gothic" w:eastAsia="Century Gothic" w:hAnsi="Century Gothic" w:cs="Century Gothic"/>
          <w:color w:val="000000"/>
          <w:sz w:val="16"/>
          <w:szCs w:val="16"/>
        </w:rPr>
        <w:t>, París-Charles de Gaulle, Salt Lake City, Seattle, Seúl-Incheon y Tokio.</w:t>
      </w:r>
    </w:p>
    <w:p w14:paraId="7D8562BD"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Como aerolínea líder mundial, la misión de Delta de conectar el mundo crea oportunidades, fomenta el entendimiento y amplía horizontes conectando a personas y comunidades entre sí y con su potencial.</w:t>
      </w:r>
    </w:p>
    <w:p w14:paraId="0129F33C"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Impulsada por asociaciones innovadoras y estratégicas con Aeroméxico, Air France-KLM, China Eastern, </w:t>
      </w:r>
      <w:proofErr w:type="spellStart"/>
      <w:r>
        <w:rPr>
          <w:rFonts w:ascii="Century Gothic" w:eastAsia="Century Gothic" w:hAnsi="Century Gothic" w:cs="Century Gothic"/>
          <w:color w:val="000000"/>
          <w:sz w:val="16"/>
          <w:szCs w:val="16"/>
        </w:rPr>
        <w:t>Korean</w:t>
      </w:r>
      <w:proofErr w:type="spellEnd"/>
      <w:r>
        <w:rPr>
          <w:rFonts w:ascii="Century Gothic" w:eastAsia="Century Gothic" w:hAnsi="Century Gothic" w:cs="Century Gothic"/>
          <w:color w:val="000000"/>
          <w:sz w:val="16"/>
          <w:szCs w:val="16"/>
        </w:rPr>
        <w:t xml:space="preserve"> Air, LATAM, </w:t>
      </w:r>
      <w:proofErr w:type="spellStart"/>
      <w:r>
        <w:rPr>
          <w:rFonts w:ascii="Century Gothic" w:eastAsia="Century Gothic" w:hAnsi="Century Gothic" w:cs="Century Gothic"/>
          <w:color w:val="000000"/>
          <w:sz w:val="16"/>
          <w:szCs w:val="16"/>
        </w:rPr>
        <w:t>Virgin</w:t>
      </w:r>
      <w:proofErr w:type="spellEnd"/>
      <w:r>
        <w:rPr>
          <w:rFonts w:ascii="Century Gothic" w:eastAsia="Century Gothic" w:hAnsi="Century Gothic" w:cs="Century Gothic"/>
          <w:color w:val="000000"/>
          <w:sz w:val="16"/>
          <w:szCs w:val="16"/>
        </w:rPr>
        <w:t xml:space="preserve"> Atlantic y </w:t>
      </w:r>
      <w:proofErr w:type="spellStart"/>
      <w:r>
        <w:rPr>
          <w:rFonts w:ascii="Century Gothic" w:eastAsia="Century Gothic" w:hAnsi="Century Gothic" w:cs="Century Gothic"/>
          <w:color w:val="000000"/>
          <w:sz w:val="16"/>
          <w:szCs w:val="16"/>
        </w:rPr>
        <w:t>WestJet</w:t>
      </w:r>
      <w:proofErr w:type="spellEnd"/>
      <w:r>
        <w:rPr>
          <w:rFonts w:ascii="Century Gothic" w:eastAsia="Century Gothic" w:hAnsi="Century Gothic" w:cs="Century Gothic"/>
          <w:color w:val="000000"/>
          <w:sz w:val="16"/>
          <w:szCs w:val="16"/>
        </w:rPr>
        <w:t>, Delta ofrece más opciones y competencia a sus clientes de todo el mundo.</w:t>
      </w:r>
    </w:p>
    <w:p w14:paraId="416500F7" w14:textId="654A0838"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Este verano, Delta puso en marcha el mayor programa transatlántico de su historia, ofreciendo casi 620 vuelos semanales a </w:t>
      </w:r>
      <w:r w:rsidR="007269FA">
        <w:rPr>
          <w:rFonts w:ascii="Century Gothic" w:eastAsia="Century Gothic" w:hAnsi="Century Gothic" w:cs="Century Gothic"/>
          <w:color w:val="000000"/>
          <w:sz w:val="16"/>
          <w:szCs w:val="16"/>
        </w:rPr>
        <w:t>EE. UU.</w:t>
      </w:r>
      <w:r>
        <w:rPr>
          <w:rFonts w:ascii="Century Gothic" w:eastAsia="Century Gothic" w:hAnsi="Century Gothic" w:cs="Century Gothic"/>
          <w:color w:val="000000"/>
          <w:sz w:val="16"/>
          <w:szCs w:val="16"/>
        </w:rPr>
        <w:t xml:space="preserve"> desde 32 aeropuertos europeos.</w:t>
      </w:r>
    </w:p>
    <w:sectPr w:rsidR="00EC7828">
      <w:headerReference w:type="default" r:id="rId10"/>
      <w:footerReference w:type="default" r:id="rId11"/>
      <w:pgSz w:w="12240" w:h="15840"/>
      <w:pgMar w:top="921" w:right="1608" w:bottom="941" w:left="156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7F7B0" w14:textId="77777777" w:rsidR="007A6F5C" w:rsidRDefault="007A6F5C">
      <w:pPr>
        <w:spacing w:line="240" w:lineRule="auto"/>
        <w:ind w:left="0" w:hanging="2"/>
      </w:pPr>
      <w:r>
        <w:separator/>
      </w:r>
    </w:p>
  </w:endnote>
  <w:endnote w:type="continuationSeparator" w:id="0">
    <w:p w14:paraId="530CBE31" w14:textId="77777777" w:rsidR="007A6F5C" w:rsidRDefault="007A6F5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99D4" w14:textId="77777777" w:rsidR="00EC7828" w:rsidRDefault="00000000">
    <w:pPr>
      <w:pBdr>
        <w:top w:val="nil"/>
        <w:left w:val="nil"/>
        <w:bottom w:val="nil"/>
        <w:right w:val="nil"/>
        <w:between w:val="nil"/>
      </w:pBdr>
      <w:tabs>
        <w:tab w:val="center" w:pos="4252"/>
        <w:tab w:val="right" w:pos="8504"/>
      </w:tabs>
      <w:spacing w:line="240" w:lineRule="auto"/>
      <w:ind w:left="0" w:hanging="2"/>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fldChar w:fldCharType="begin"/>
    </w:r>
    <w:r>
      <w:rPr>
        <w:rFonts w:ascii="Century Gothic" w:eastAsia="Century Gothic" w:hAnsi="Century Gothic" w:cs="Century Gothic"/>
        <w:color w:val="000000"/>
        <w:sz w:val="18"/>
        <w:szCs w:val="18"/>
      </w:rPr>
      <w:instrText>PAGE</w:instrText>
    </w:r>
    <w:r>
      <w:rPr>
        <w:rFonts w:ascii="Century Gothic" w:eastAsia="Century Gothic" w:hAnsi="Century Gothic" w:cs="Century Gothic"/>
        <w:color w:val="000000"/>
        <w:sz w:val="18"/>
        <w:szCs w:val="18"/>
      </w:rPr>
      <w:fldChar w:fldCharType="separate"/>
    </w:r>
    <w:r w:rsidR="007269FA">
      <w:rPr>
        <w:rFonts w:ascii="Century Gothic" w:eastAsia="Century Gothic" w:hAnsi="Century Gothic" w:cs="Century Gothic"/>
        <w:noProof/>
        <w:color w:val="000000"/>
        <w:sz w:val="18"/>
        <w:szCs w:val="18"/>
      </w:rPr>
      <w:t>1</w:t>
    </w:r>
    <w:r>
      <w:rPr>
        <w:rFonts w:ascii="Century Gothic" w:eastAsia="Century Gothic" w:hAnsi="Century Gothic" w:cs="Century Gothic"/>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9BF0C" w14:textId="77777777" w:rsidR="007A6F5C" w:rsidRDefault="007A6F5C">
      <w:pPr>
        <w:spacing w:line="240" w:lineRule="auto"/>
        <w:ind w:left="0" w:hanging="2"/>
      </w:pPr>
      <w:r>
        <w:separator/>
      </w:r>
    </w:p>
  </w:footnote>
  <w:footnote w:type="continuationSeparator" w:id="0">
    <w:p w14:paraId="6CB75F14" w14:textId="77777777" w:rsidR="007A6F5C" w:rsidRDefault="007A6F5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3D129" w14:textId="77777777" w:rsidR="00EC7828" w:rsidRDefault="00EC7828">
    <w:pPr>
      <w:pBdr>
        <w:top w:val="nil"/>
        <w:left w:val="nil"/>
        <w:bottom w:val="nil"/>
        <w:right w:val="nil"/>
        <w:between w:val="nil"/>
      </w:pBdr>
      <w:tabs>
        <w:tab w:val="center" w:pos="4252"/>
        <w:tab w:val="right" w:pos="8504"/>
      </w:tabs>
      <w:spacing w:line="240" w:lineRule="auto"/>
      <w:ind w:left="0" w:hanging="2"/>
      <w:rPr>
        <w:color w:val="000000"/>
      </w:rPr>
    </w:pPr>
  </w:p>
  <w:p w14:paraId="181BCF7D" w14:textId="77777777" w:rsidR="00EC7828" w:rsidRDefault="00EC7828">
    <w:pPr>
      <w:pBdr>
        <w:top w:val="nil"/>
        <w:left w:val="nil"/>
        <w:bottom w:val="nil"/>
        <w:right w:val="nil"/>
        <w:between w:val="nil"/>
      </w:pBdr>
      <w:tabs>
        <w:tab w:val="center" w:pos="4252"/>
        <w:tab w:val="right" w:pos="8504"/>
      </w:tabs>
      <w:spacing w:line="240" w:lineRule="auto"/>
      <w:ind w:left="0" w:hanging="2"/>
      <w:rPr>
        <w:color w:val="000000"/>
      </w:rPr>
    </w:pPr>
  </w:p>
  <w:p w14:paraId="7DF3ADB9" w14:textId="77777777" w:rsidR="00EC7828" w:rsidRDefault="00EC7828">
    <w:pPr>
      <w:pBdr>
        <w:top w:val="nil"/>
        <w:left w:val="nil"/>
        <w:bottom w:val="nil"/>
        <w:right w:val="nil"/>
        <w:between w:val="nil"/>
      </w:pBdr>
      <w:tabs>
        <w:tab w:val="center" w:pos="4252"/>
        <w:tab w:val="right" w:pos="8504"/>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828"/>
    <w:rsid w:val="007269FA"/>
    <w:rsid w:val="007A6F5C"/>
    <w:rsid w:val="00EC78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1E3DFD1"/>
  <w15:docId w15:val="{CB708AE7-5A8A-3E48-BBDB-ED5DD44D7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s-ES"/>
    </w:rPr>
  </w:style>
  <w:style w:type="paragraph" w:styleId="Ttulo1">
    <w:name w:val="heading 1"/>
    <w:basedOn w:val="Normal"/>
    <w:next w:val="Normal"/>
    <w:uiPriority w:val="9"/>
    <w:qFormat/>
    <w:pPr>
      <w:keepNext/>
      <w:keepLines/>
      <w:pBdr>
        <w:top w:val="nil"/>
        <w:left w:val="nil"/>
        <w:bottom w:val="nil"/>
        <w:right w:val="nil"/>
        <w:between w:val="nil"/>
      </w:pBdr>
      <w:spacing w:before="400" w:after="120"/>
    </w:pPr>
    <w:rPr>
      <w:color w:val="000000"/>
      <w:sz w:val="40"/>
      <w:szCs w:val="40"/>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table" w:customStyle="1" w:styleId="TableNormal0">
    <w:name w:val="Table Normal"/>
    <w:next w:val="TableNormal"/>
    <w:pPr>
      <w:suppressAutoHyphens/>
      <w:ind w:leftChars="-1" w:left="-1" w:hangingChars="1" w:hanging="1"/>
      <w:textDirection w:val="btLr"/>
      <w:textAlignment w:val="top"/>
      <w:outlineLvl w:val="0"/>
    </w:pPr>
    <w:rPr>
      <w:position w:val="-1"/>
      <w:lang w:eastAsia="es-ES"/>
    </w:rPr>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nfasis">
    <w:name w:val="Emphasis"/>
    <w:rPr>
      <w:i/>
      <w:iCs/>
      <w:w w:val="100"/>
      <w:position w:val="-1"/>
      <w:effect w:val="none"/>
      <w:vertAlign w:val="baseline"/>
      <w:cs w:val="0"/>
      <w:em w:val="none"/>
    </w:rPr>
  </w:style>
  <w:style w:type="paragraph" w:styleId="Textosinformato">
    <w:name w:val="Plain Text"/>
    <w:basedOn w:val="Normal"/>
    <w:qFormat/>
    <w:pPr>
      <w:spacing w:line="240" w:lineRule="auto"/>
    </w:pPr>
    <w:rPr>
      <w:rFonts w:ascii="Consolas" w:eastAsia="Calibri" w:hAnsi="Consolas" w:cs="Times New Roman"/>
      <w:sz w:val="21"/>
      <w:szCs w:val="21"/>
      <w:lang w:val="en-US" w:eastAsia="en-US"/>
    </w:rPr>
  </w:style>
  <w:style w:type="character" w:customStyle="1" w:styleId="TextosinformatoCar">
    <w:name w:val="Texto sin formato Car"/>
    <w:rPr>
      <w:rFonts w:ascii="Consolas" w:eastAsia="Calibri" w:hAnsi="Consolas" w:cs="Times New Roman"/>
      <w:w w:val="100"/>
      <w:position w:val="-1"/>
      <w:sz w:val="21"/>
      <w:szCs w:val="21"/>
      <w:effect w:val="none"/>
      <w:vertAlign w:val="baseline"/>
      <w:cs w:val="0"/>
      <w:em w:val="none"/>
      <w:lang w:val="en-US" w:eastAsia="en-US"/>
    </w:rPr>
  </w:style>
  <w:style w:type="table" w:styleId="Tabladecuadrcula4">
    <w:name w:val="Grid Table 4"/>
    <w:basedOn w:val="Tablanormal"/>
    <w:pPr>
      <w:suppressAutoHyphens/>
      <w:spacing w:line="1" w:lineRule="atLeast"/>
      <w:ind w:leftChars="-1" w:left="-1" w:hangingChars="1" w:hanging="1"/>
      <w:textDirection w:val="btLr"/>
      <w:textAlignment w:val="top"/>
      <w:outlineLvl w:val="0"/>
    </w:pPr>
    <w:rPr>
      <w:rFonts w:ascii="Calibri" w:eastAsia="Calibri" w:hAnsi="Calibri" w:cs="Times New Roman"/>
      <w:position w:val="-1"/>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paragraph" w:styleId="Prrafodelista">
    <w:name w:val="List Paragraph"/>
    <w:basedOn w:val="Normal"/>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ensa@sergat.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kyboutique.deltasho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Ej8UD1eC3dYDo4pEoPLY1LlCvQ==">CgMxLjAyCGguZ2pkZ3hzOAByITFEZkxDV3NYSFJyVXBxVDFNdjQxZm1tbnV5WmRVT29ZbQ==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3754</Characters>
  <Application>Microsoft Office Word</Application>
  <DocSecurity>0</DocSecurity>
  <Lines>64</Lines>
  <Paragraphs>25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4476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2023-10-03T11:40:00Z</dcterms:created>
  <dcterms:modified xsi:type="dcterms:W3CDTF">2023-10-04T09:13:00Z</dcterms:modified>
  <cp:category/>
</cp:coreProperties>
</file>