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E4D38"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9155262" w14:textId="77777777" w:rsidR="00EC7343"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20648CD"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 xml:space="preserve">Sergat </w:t>
      </w:r>
    </w:p>
    <w:p w14:paraId="2623BA17" w14:textId="77777777" w:rsidR="00EC7343" w:rsidRPr="00581370" w:rsidRDefault="00CA3AA5">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sidRPr="00581370">
        <w:rPr>
          <w:rFonts w:ascii="Century Gothic" w:eastAsia="Century Gothic" w:hAnsi="Century Gothic" w:cs="Century Gothic"/>
          <w:color w:val="000000"/>
          <w:sz w:val="18"/>
          <w:szCs w:val="18"/>
        </w:rPr>
        <w:t>Tel.: 93 414 02 10</w:t>
      </w:r>
    </w:p>
    <w:p w14:paraId="43A6C11F" w14:textId="77777777" w:rsidR="00EC7343" w:rsidRPr="00581370" w:rsidRDefault="00CA3AA5">
      <w:pPr>
        <w:pBdr>
          <w:top w:val="nil"/>
          <w:left w:val="nil"/>
          <w:bottom w:val="nil"/>
          <w:right w:val="nil"/>
          <w:between w:val="nil"/>
        </w:pBdr>
        <w:spacing w:line="360" w:lineRule="auto"/>
        <w:jc w:val="both"/>
        <w:rPr>
          <w:rFonts w:ascii="Cambria" w:eastAsia="Cambria" w:hAnsi="Cambria" w:cs="Cambria"/>
          <w:color w:val="000000"/>
        </w:rPr>
      </w:pPr>
      <w:r w:rsidRPr="00581370">
        <w:rPr>
          <w:rFonts w:ascii="Century Gothic" w:eastAsia="Century Gothic" w:hAnsi="Century Gothic" w:cs="Century Gothic"/>
          <w:color w:val="000000"/>
          <w:sz w:val="18"/>
          <w:szCs w:val="18"/>
        </w:rPr>
        <w:t xml:space="preserve">E-mail: </w:t>
      </w:r>
      <w:hyperlink r:id="rId7">
        <w:r w:rsidRPr="00581370">
          <w:rPr>
            <w:rFonts w:ascii="Century Gothic" w:eastAsia="Century Gothic" w:hAnsi="Century Gothic" w:cs="Century Gothic"/>
            <w:color w:val="006699"/>
            <w:sz w:val="18"/>
            <w:szCs w:val="18"/>
          </w:rPr>
          <w:t>prensa@sergat.com</w:t>
        </w:r>
      </w:hyperlink>
      <w:r w:rsidRPr="00581370">
        <w:rPr>
          <w:rFonts w:ascii="Century Gothic" w:eastAsia="Century Gothic" w:hAnsi="Century Gothic" w:cs="Century Gothic"/>
          <w:sz w:val="18"/>
          <w:szCs w:val="18"/>
        </w:rPr>
        <w:t xml:space="preserve"> </w:t>
      </w:r>
      <w:r w:rsidRPr="00581370">
        <w:rPr>
          <w:rFonts w:ascii="Century Gothic" w:eastAsia="Century Gothic" w:hAnsi="Century Gothic" w:cs="Century Gothic"/>
          <w:color w:val="000000"/>
          <w:sz w:val="18"/>
          <w:szCs w:val="18"/>
        </w:rPr>
        <w:t xml:space="preserve"> </w:t>
      </w:r>
      <w:r w:rsidRPr="00581370">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EC7343" w:rsidRPr="00F0102D" w14:paraId="44796E8E" w14:textId="77777777">
        <w:trPr>
          <w:jc w:val="center"/>
        </w:trPr>
        <w:tc>
          <w:tcPr>
            <w:tcW w:w="5775" w:type="dxa"/>
            <w:vAlign w:val="center"/>
          </w:tcPr>
          <w:p w14:paraId="6F4BA803" w14:textId="77777777" w:rsidR="00EC7343" w:rsidRPr="00581370" w:rsidRDefault="00EC7343" w:rsidP="00F2678C">
            <w:pPr>
              <w:jc w:val="center"/>
              <w:rPr>
                <w:sz w:val="20"/>
                <w:szCs w:val="20"/>
              </w:rPr>
            </w:pPr>
          </w:p>
        </w:tc>
      </w:tr>
    </w:tbl>
    <w:p w14:paraId="2BDAE0D6" w14:textId="0CCF7854" w:rsidR="0008652E" w:rsidRDefault="0008652E" w:rsidP="0008652E">
      <w:pPr>
        <w:pBdr>
          <w:top w:val="nil"/>
          <w:left w:val="nil"/>
          <w:bottom w:val="nil"/>
          <w:right w:val="nil"/>
          <w:between w:val="nil"/>
        </w:pBdr>
        <w:spacing w:before="280" w:line="360" w:lineRule="auto"/>
        <w:jc w:val="center"/>
        <w:rPr>
          <w:rFonts w:ascii="Century Gothic" w:eastAsia="Century Gothic" w:hAnsi="Century Gothic" w:cs="Century Gothic"/>
          <w:b/>
        </w:rPr>
      </w:pPr>
      <w:r w:rsidRPr="0008652E">
        <w:rPr>
          <w:rFonts w:ascii="Century Gothic" w:eastAsia="Century Gothic" w:hAnsi="Century Gothic" w:cs="Century Gothic"/>
          <w:b/>
        </w:rPr>
        <w:t>Inauguración del nuevo centro de visitantes de la Reserva Natural del Desierto de Dubái</w:t>
      </w:r>
    </w:p>
    <w:p w14:paraId="00D44EA2" w14:textId="77777777" w:rsidR="0008652E" w:rsidRDefault="0008652E" w:rsidP="0008652E">
      <w:pPr>
        <w:pBdr>
          <w:top w:val="nil"/>
          <w:left w:val="nil"/>
          <w:bottom w:val="nil"/>
          <w:right w:val="nil"/>
          <w:between w:val="nil"/>
        </w:pBdr>
        <w:spacing w:before="280" w:line="360" w:lineRule="auto"/>
        <w:jc w:val="center"/>
        <w:rPr>
          <w:rFonts w:ascii="Century Gothic" w:eastAsia="Century Gothic" w:hAnsi="Century Gothic" w:cs="Century Gothic"/>
          <w:b/>
        </w:rPr>
      </w:pPr>
    </w:p>
    <w:tbl>
      <w:tblPr>
        <w:tblW w:w="0" w:type="auto"/>
        <w:shd w:val="clear" w:color="auto" w:fill="FFFFFF"/>
        <w:tblCellMar>
          <w:left w:w="0" w:type="dxa"/>
          <w:right w:w="0" w:type="dxa"/>
        </w:tblCellMar>
        <w:tblLook w:val="04A0" w:firstRow="1" w:lastRow="0" w:firstColumn="1" w:lastColumn="0" w:noHBand="0" w:noVBand="1"/>
      </w:tblPr>
      <w:tblGrid>
        <w:gridCol w:w="9000"/>
      </w:tblGrid>
      <w:tr w:rsidR="0008652E" w:rsidRPr="0008652E" w14:paraId="58A96D32" w14:textId="77777777" w:rsidTr="0008652E">
        <w:tc>
          <w:tcPr>
            <w:tcW w:w="9000" w:type="dxa"/>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08652E" w:rsidRPr="0008652E" w14:paraId="44915BC7" w14:textId="77777777" w:rsidTr="00AB4EDD">
              <w:trPr>
                <w:trHeight w:val="100"/>
              </w:trPr>
              <w:tc>
                <w:tcPr>
                  <w:tcW w:w="0" w:type="auto"/>
                  <w:vAlign w:val="center"/>
                  <w:hideMark/>
                </w:tcPr>
                <w:p w14:paraId="2F394ED0" w14:textId="053E2E5B" w:rsidR="0008652E" w:rsidRPr="00AB4EDD" w:rsidRDefault="0008652E" w:rsidP="00AB4EDD">
                  <w:pPr>
                    <w:jc w:val="center"/>
                    <w:outlineLvl w:val="2"/>
                    <w:rPr>
                      <w:rFonts w:ascii="Calibri" w:hAnsi="Calibri" w:cs="Calibri"/>
                      <w:b/>
                      <w:bCs/>
                      <w:sz w:val="27"/>
                      <w:szCs w:val="27"/>
                      <w:lang w:eastAsia="es-ES"/>
                    </w:rPr>
                  </w:pPr>
                  <w:r w:rsidRPr="00AB4EDD">
                    <w:rPr>
                      <w:rFonts w:ascii="Century Gothic" w:eastAsia="Century Gothic" w:hAnsi="Century Gothic" w:cs="Century Gothic"/>
                      <w:sz w:val="22"/>
                      <w:szCs w:val="22"/>
                    </w:rPr>
                    <w:t>Experiencias inmersivas para los visitantes del primer Parque Nacional</w:t>
                  </w:r>
                  <w:r w:rsidR="00AB4EDD" w:rsidRPr="00AB4EDD">
                    <w:rPr>
                      <w:rFonts w:ascii="Century Gothic" w:eastAsia="Century Gothic" w:hAnsi="Century Gothic" w:cs="Century Gothic"/>
                      <w:sz w:val="22"/>
                      <w:szCs w:val="22"/>
                    </w:rPr>
                    <w:t xml:space="preserve"> </w:t>
                  </w:r>
                  <w:r w:rsidRPr="00AB4EDD">
                    <w:rPr>
                      <w:rFonts w:ascii="Century Gothic" w:eastAsia="Century Gothic" w:hAnsi="Century Gothic" w:cs="Century Gothic"/>
                      <w:sz w:val="22"/>
                      <w:szCs w:val="22"/>
                    </w:rPr>
                    <w:t>de los EAU</w:t>
                  </w:r>
                </w:p>
              </w:tc>
            </w:tr>
          </w:tbl>
          <w:p w14:paraId="177AAF72" w14:textId="77777777" w:rsidR="0008652E" w:rsidRPr="0008652E" w:rsidRDefault="0008652E" w:rsidP="0008652E">
            <w:pPr>
              <w:rPr>
                <w:rFonts w:ascii="Arial" w:hAnsi="Arial" w:cs="Arial"/>
                <w:color w:val="222222"/>
                <w:lang w:eastAsia="es-ES"/>
              </w:rPr>
            </w:pPr>
          </w:p>
        </w:tc>
      </w:tr>
    </w:tbl>
    <w:p w14:paraId="09E30417" w14:textId="77777777" w:rsidR="0008652E" w:rsidRDefault="0008652E" w:rsidP="00967C4B">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p>
    <w:p w14:paraId="2F56C7E6" w14:textId="3E57F7DF" w:rsidR="0008652E" w:rsidRPr="0008652E" w:rsidRDefault="00BF4F73"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BF4F73">
        <w:rPr>
          <w:rFonts w:ascii="Century Gothic" w:eastAsia="Century Gothic" w:hAnsi="Century Gothic" w:cs="Century Gothic"/>
          <w:b/>
          <w:sz w:val="22"/>
          <w:szCs w:val="22"/>
        </w:rPr>
        <w:t>Dub</w:t>
      </w:r>
      <w:r w:rsidR="002A73B2">
        <w:rPr>
          <w:rFonts w:ascii="Century Gothic" w:eastAsia="Century Gothic" w:hAnsi="Century Gothic" w:cs="Century Gothic"/>
          <w:b/>
          <w:sz w:val="22"/>
          <w:szCs w:val="22"/>
        </w:rPr>
        <w:t>á</w:t>
      </w:r>
      <w:r w:rsidRPr="00BF4F73">
        <w:rPr>
          <w:rFonts w:ascii="Century Gothic" w:eastAsia="Century Gothic" w:hAnsi="Century Gothic" w:cs="Century Gothic"/>
          <w:b/>
          <w:sz w:val="22"/>
          <w:szCs w:val="22"/>
        </w:rPr>
        <w:t xml:space="preserve">i </w:t>
      </w:r>
      <w:r w:rsidR="00761AA8">
        <w:rPr>
          <w:rFonts w:ascii="Century Gothic" w:eastAsia="Century Gothic" w:hAnsi="Century Gothic" w:cs="Century Gothic"/>
          <w:b/>
          <w:sz w:val="22"/>
          <w:szCs w:val="22"/>
        </w:rPr>
        <w:t>0</w:t>
      </w:r>
      <w:r w:rsidR="0008652E">
        <w:rPr>
          <w:rFonts w:ascii="Century Gothic" w:eastAsia="Century Gothic" w:hAnsi="Century Gothic" w:cs="Century Gothic"/>
          <w:b/>
          <w:sz w:val="22"/>
          <w:szCs w:val="22"/>
        </w:rPr>
        <w:t>4</w:t>
      </w:r>
      <w:r w:rsidRPr="00BF4F73">
        <w:rPr>
          <w:rFonts w:ascii="Century Gothic" w:eastAsia="Century Gothic" w:hAnsi="Century Gothic" w:cs="Century Gothic"/>
          <w:b/>
          <w:sz w:val="22"/>
          <w:szCs w:val="22"/>
        </w:rPr>
        <w:t xml:space="preserve"> de </w:t>
      </w:r>
      <w:r w:rsidR="00761AA8">
        <w:rPr>
          <w:rFonts w:ascii="Century Gothic" w:eastAsia="Century Gothic" w:hAnsi="Century Gothic" w:cs="Century Gothic"/>
          <w:b/>
          <w:sz w:val="22"/>
          <w:szCs w:val="22"/>
        </w:rPr>
        <w:t>octubre</w:t>
      </w:r>
      <w:r w:rsidRPr="00BF4F73">
        <w:rPr>
          <w:rFonts w:ascii="Century Gothic" w:eastAsia="Century Gothic" w:hAnsi="Century Gothic" w:cs="Century Gothic"/>
          <w:b/>
          <w:sz w:val="22"/>
          <w:szCs w:val="22"/>
        </w:rPr>
        <w:t xml:space="preserve"> de 2023:</w:t>
      </w:r>
      <w:r w:rsidR="00722030" w:rsidRPr="00722030">
        <w:t xml:space="preserve"> </w:t>
      </w:r>
      <w:r w:rsidR="0008652E" w:rsidRPr="0008652E">
        <w:rPr>
          <w:rFonts w:ascii="Century Gothic" w:eastAsia="Century Gothic" w:hAnsi="Century Gothic" w:cs="Century Gothic"/>
          <w:sz w:val="22"/>
          <w:szCs w:val="22"/>
        </w:rPr>
        <w:t xml:space="preserve">Los visitantes de la Reserva para la Conservación del Desierto de </w:t>
      </w:r>
      <w:proofErr w:type="spellStart"/>
      <w:r w:rsidR="0008652E" w:rsidRPr="0008652E">
        <w:rPr>
          <w:rFonts w:ascii="Century Gothic" w:eastAsia="Century Gothic" w:hAnsi="Century Gothic" w:cs="Century Gothic"/>
          <w:sz w:val="22"/>
          <w:szCs w:val="22"/>
        </w:rPr>
        <w:t>Dubai</w:t>
      </w:r>
      <w:proofErr w:type="spellEnd"/>
      <w:r w:rsidR="0008652E" w:rsidRPr="0008652E">
        <w:rPr>
          <w:rFonts w:ascii="Century Gothic" w:eastAsia="Century Gothic" w:hAnsi="Century Gothic" w:cs="Century Gothic"/>
          <w:sz w:val="22"/>
          <w:szCs w:val="22"/>
        </w:rPr>
        <w:t xml:space="preserve"> (DDCR) ya pueden disfrutar de una inmersiva introducción a la flora y fauna autóctonas de los EAU, conocer la Reserva, su labor de conservación de este bello pero frágil ecosistema, y mucho más, en el nuevo Centro de Visitantes que se inaugura hoy </w:t>
      </w:r>
      <w:r w:rsidR="00AB4EDD">
        <w:rPr>
          <w:rFonts w:ascii="Century Gothic" w:eastAsia="Century Gothic" w:hAnsi="Century Gothic" w:cs="Century Gothic"/>
          <w:sz w:val="22"/>
          <w:szCs w:val="22"/>
        </w:rPr>
        <w:t>por</w:t>
      </w:r>
      <w:r w:rsidR="0008652E" w:rsidRPr="0008652E">
        <w:rPr>
          <w:rFonts w:ascii="Century Gothic" w:eastAsia="Century Gothic" w:hAnsi="Century Gothic" w:cs="Century Gothic"/>
          <w:sz w:val="22"/>
          <w:szCs w:val="22"/>
        </w:rPr>
        <w:t xml:space="preserve"> el Día Mundial de los Animales.</w:t>
      </w:r>
    </w:p>
    <w:p w14:paraId="2F3F961A" w14:textId="57E3073D" w:rsidR="0008652E" w:rsidRPr="0008652E" w:rsidRDefault="0008652E"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Ali Mubarak Al </w:t>
      </w:r>
      <w:proofErr w:type="spellStart"/>
      <w:r w:rsidRPr="0008652E">
        <w:rPr>
          <w:rFonts w:ascii="Century Gothic" w:eastAsia="Century Gothic" w:hAnsi="Century Gothic" w:cs="Century Gothic"/>
          <w:sz w:val="22"/>
          <w:szCs w:val="22"/>
        </w:rPr>
        <w:t>Soori</w:t>
      </w:r>
      <w:proofErr w:type="spellEnd"/>
      <w:r w:rsidRPr="0008652E">
        <w:rPr>
          <w:rFonts w:ascii="Century Gothic" w:eastAsia="Century Gothic" w:hAnsi="Century Gothic" w:cs="Century Gothic"/>
          <w:sz w:val="22"/>
          <w:szCs w:val="22"/>
        </w:rPr>
        <w:t xml:space="preserve">, </w:t>
      </w:r>
      <w:r w:rsidR="00AB4EDD" w:rsidRPr="0008652E">
        <w:rPr>
          <w:rFonts w:ascii="Century Gothic" w:eastAsia="Century Gothic" w:hAnsi="Century Gothic" w:cs="Century Gothic"/>
          <w:sz w:val="22"/>
          <w:szCs w:val="22"/>
        </w:rPr>
        <w:t>vicepresidente</w:t>
      </w:r>
      <w:r w:rsidRPr="0008652E">
        <w:rPr>
          <w:rFonts w:ascii="Century Gothic" w:eastAsia="Century Gothic" w:hAnsi="Century Gothic" w:cs="Century Gothic"/>
          <w:sz w:val="22"/>
          <w:szCs w:val="22"/>
        </w:rPr>
        <w:t xml:space="preserve"> </w:t>
      </w:r>
      <w:r w:rsidR="00AB4EDD">
        <w:rPr>
          <w:rFonts w:ascii="Century Gothic" w:eastAsia="Century Gothic" w:hAnsi="Century Gothic" w:cs="Century Gothic"/>
          <w:sz w:val="22"/>
          <w:szCs w:val="22"/>
        </w:rPr>
        <w:t>ej</w:t>
      </w:r>
      <w:r w:rsidRPr="0008652E">
        <w:rPr>
          <w:rFonts w:ascii="Century Gothic" w:eastAsia="Century Gothic" w:hAnsi="Century Gothic" w:cs="Century Gothic"/>
          <w:sz w:val="22"/>
          <w:szCs w:val="22"/>
        </w:rPr>
        <w:t xml:space="preserve">ecutivo de Instalaciones, Gestión de Proyectos y Adquisiciones y Cadena de Suministro del Grupo </w:t>
      </w:r>
      <w:proofErr w:type="spellStart"/>
      <w:r w:rsidRPr="0008652E">
        <w:rPr>
          <w:rFonts w:ascii="Century Gothic" w:eastAsia="Century Gothic" w:hAnsi="Century Gothic" w:cs="Century Gothic"/>
          <w:sz w:val="22"/>
          <w:szCs w:val="22"/>
        </w:rPr>
        <w:t>Emirates</w:t>
      </w:r>
      <w:proofErr w:type="spellEnd"/>
      <w:r w:rsidRPr="0008652E">
        <w:rPr>
          <w:rFonts w:ascii="Century Gothic" w:eastAsia="Century Gothic" w:hAnsi="Century Gothic" w:cs="Century Gothic"/>
          <w:sz w:val="22"/>
          <w:szCs w:val="22"/>
        </w:rPr>
        <w:t xml:space="preserve">, ha declarado: "Nos complace mejorar la experiencia de los visitantes de la DDCR y ayudar a promover la concienciación sobre la conservación del hábitat y los logros de la Reserva. Con la llegada de la ajetreada temporada de invierno, esperamos dar la bienvenida a los </w:t>
      </w:r>
      <w:r w:rsidR="00AB4EDD">
        <w:rPr>
          <w:rFonts w:ascii="Century Gothic" w:eastAsia="Century Gothic" w:hAnsi="Century Gothic" w:cs="Century Gothic"/>
          <w:sz w:val="22"/>
          <w:szCs w:val="22"/>
        </w:rPr>
        <w:t xml:space="preserve">visitantes </w:t>
      </w:r>
      <w:r w:rsidRPr="0008652E">
        <w:rPr>
          <w:rFonts w:ascii="Century Gothic" w:eastAsia="Century Gothic" w:hAnsi="Century Gothic" w:cs="Century Gothic"/>
          <w:sz w:val="22"/>
          <w:szCs w:val="22"/>
        </w:rPr>
        <w:t xml:space="preserve">al centro y fomentar en ellos el aprecio por la fauna y la naturaleza de </w:t>
      </w:r>
      <w:r w:rsidR="00AB4EDD" w:rsidRPr="0008652E">
        <w:rPr>
          <w:rFonts w:ascii="Century Gothic" w:eastAsia="Century Gothic" w:hAnsi="Century Gothic" w:cs="Century Gothic"/>
          <w:sz w:val="22"/>
          <w:szCs w:val="22"/>
        </w:rPr>
        <w:t>Dubái</w:t>
      </w:r>
      <w:r w:rsidRPr="0008652E">
        <w:rPr>
          <w:rFonts w:ascii="Century Gothic" w:eastAsia="Century Gothic" w:hAnsi="Century Gothic" w:cs="Century Gothic"/>
          <w:sz w:val="22"/>
          <w:szCs w:val="22"/>
        </w:rPr>
        <w:t>".</w:t>
      </w:r>
    </w:p>
    <w:p w14:paraId="5588F529" w14:textId="77777777" w:rsidR="0008652E" w:rsidRDefault="0008652E"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El Centro de Visitantes del DDCR presenta contenidos cuidadosamente seleccionados por los expertos en conservación de la Reserva en 5 áreas distintas: </w:t>
      </w:r>
    </w:p>
    <w:p w14:paraId="396B88CC" w14:textId="77777777" w:rsidR="0008652E" w:rsidRPr="0008652E" w:rsidRDefault="0008652E" w:rsidP="0008652E">
      <w:pPr>
        <w:pStyle w:val="Prrafodelista"/>
        <w:numPr>
          <w:ilvl w:val="0"/>
          <w:numId w:val="38"/>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El vestíbulo de recepción es un acogedor espacio abierto que da la bienvenida a los visitantes al centro, donde una enorme fotografía de pared y techo tensado destaca al </w:t>
      </w:r>
      <w:proofErr w:type="spellStart"/>
      <w:r w:rsidRPr="0008652E">
        <w:rPr>
          <w:rFonts w:ascii="Century Gothic" w:eastAsia="Century Gothic" w:hAnsi="Century Gothic" w:cs="Century Gothic"/>
          <w:sz w:val="22"/>
          <w:szCs w:val="22"/>
        </w:rPr>
        <w:t>óryx</w:t>
      </w:r>
      <w:proofErr w:type="spellEnd"/>
      <w:r w:rsidRPr="0008652E">
        <w:rPr>
          <w:rFonts w:ascii="Century Gothic" w:eastAsia="Century Gothic" w:hAnsi="Century Gothic" w:cs="Century Gothic"/>
          <w:sz w:val="22"/>
          <w:szCs w:val="22"/>
        </w:rPr>
        <w:t xml:space="preserve"> árabe en su hábitat natural. Un </w:t>
      </w:r>
      <w:r w:rsidRPr="0008652E">
        <w:rPr>
          <w:rFonts w:ascii="Century Gothic" w:eastAsia="Century Gothic" w:hAnsi="Century Gothic" w:cs="Century Gothic"/>
          <w:sz w:val="22"/>
          <w:szCs w:val="22"/>
        </w:rPr>
        <w:lastRenderedPageBreak/>
        <w:t>quiosco interactivo permite a los visitantes explorar un mapa de la Reserva y descubrir dónde se han avistado animales escurridizos como el zorro árabe.</w:t>
      </w:r>
    </w:p>
    <w:p w14:paraId="6D6BBBF8" w14:textId="77777777" w:rsidR="0008652E" w:rsidRPr="0008652E" w:rsidRDefault="0008652E" w:rsidP="0008652E">
      <w:pPr>
        <w:pStyle w:val="Prrafodelista"/>
        <w:numPr>
          <w:ilvl w:val="0"/>
          <w:numId w:val="38"/>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La sala cultural muestra los principales hitos de la DDCR, desde su creación en 1999 como pionera de las áreas protegidas de los EAU, hasta su posición actual como modelo de éxito para la conservación del hábitat, el turismo gestionado y la educación e investigación científica. Elementos culturales estrechamente ligados al patrimonio del desierto de los EAU, como la cetrería, el cultivo de dátiles y la cría de camellos, también forman parte de la historia del DDCR en esta sala.</w:t>
      </w:r>
    </w:p>
    <w:p w14:paraId="59170C55" w14:textId="77777777" w:rsidR="0008652E" w:rsidRPr="0008652E" w:rsidRDefault="0008652E" w:rsidP="0008652E">
      <w:pPr>
        <w:pStyle w:val="Prrafodelista"/>
        <w:numPr>
          <w:ilvl w:val="0"/>
          <w:numId w:val="38"/>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La sala audiovisual es un "minicine" en el que los visitantes pueden ver un cortometraje bellamente producido para hacerse una idea general de la Reserva.</w:t>
      </w:r>
    </w:p>
    <w:p w14:paraId="644100CD" w14:textId="77777777" w:rsidR="0008652E" w:rsidRPr="0008652E" w:rsidRDefault="0008652E" w:rsidP="0008652E">
      <w:pPr>
        <w:pStyle w:val="Prrafodelista"/>
        <w:numPr>
          <w:ilvl w:val="0"/>
          <w:numId w:val="38"/>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Para disipar la idea errónea de que los desiertos son estériles, la sala de hábitats presenta la diversa flora y fauna autóctonas de la Reserva, a través de modelos reales impresos en 3D, pantallas holográficas, quioscos interactivos y pulsadores que reproducen las melodías de las diversas especies de aves que se encuentran en el DDCR. También se exponen ejemplares reales para los entusiastas de la naturaleza.</w:t>
      </w:r>
    </w:p>
    <w:p w14:paraId="51C56823" w14:textId="2CC8B634" w:rsidR="0008652E" w:rsidRPr="00AB4EDD" w:rsidRDefault="0008652E" w:rsidP="0008652E">
      <w:pPr>
        <w:pStyle w:val="Prrafodelista"/>
        <w:numPr>
          <w:ilvl w:val="0"/>
          <w:numId w:val="38"/>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Para ofrecer una perspectiva totalmente nueva de la vida nocturna de </w:t>
      </w:r>
      <w:proofErr w:type="spellStart"/>
      <w:r w:rsidRPr="0008652E">
        <w:rPr>
          <w:rFonts w:ascii="Century Gothic" w:eastAsia="Century Gothic" w:hAnsi="Century Gothic" w:cs="Century Gothic"/>
          <w:sz w:val="22"/>
          <w:szCs w:val="22"/>
        </w:rPr>
        <w:t>Dubai</w:t>
      </w:r>
      <w:proofErr w:type="spellEnd"/>
      <w:r w:rsidRPr="0008652E">
        <w:rPr>
          <w:rFonts w:ascii="Century Gothic" w:eastAsia="Century Gothic" w:hAnsi="Century Gothic" w:cs="Century Gothic"/>
          <w:sz w:val="22"/>
          <w:szCs w:val="22"/>
        </w:rPr>
        <w:t xml:space="preserve">, en la sala nocturna se ha instalado una cúpula con tecnología de </w:t>
      </w:r>
      <w:r w:rsidRPr="00AB4EDD">
        <w:rPr>
          <w:rFonts w:ascii="Century Gothic" w:eastAsia="Century Gothic" w:hAnsi="Century Gothic" w:cs="Century Gothic"/>
          <w:sz w:val="22"/>
          <w:szCs w:val="22"/>
        </w:rPr>
        <w:t>vanguardia que ofrece un escaparate envolvente de la fauna nocturna que habita en el DDCR.</w:t>
      </w:r>
    </w:p>
    <w:p w14:paraId="5F55EC9C" w14:textId="77D2EC50" w:rsidR="0008652E" w:rsidRPr="0008652E" w:rsidRDefault="0008652E"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AB4EDD">
        <w:rPr>
          <w:rFonts w:ascii="Century Gothic" w:eastAsia="Century Gothic" w:hAnsi="Century Gothic" w:cs="Century Gothic"/>
          <w:sz w:val="22"/>
          <w:szCs w:val="22"/>
        </w:rPr>
        <w:t>Vea un recorrido en</w:t>
      </w:r>
      <w:hyperlink r:id="rId8" w:history="1">
        <w:r w:rsidRPr="00AB4EDD">
          <w:rPr>
            <w:rStyle w:val="Hipervnculo"/>
            <w:rFonts w:ascii="Century Gothic" w:eastAsia="Century Gothic" w:hAnsi="Century Gothic" w:cs="Century Gothic"/>
            <w:sz w:val="22"/>
            <w:szCs w:val="22"/>
          </w:rPr>
          <w:t xml:space="preserve"> vídeo</w:t>
        </w:r>
      </w:hyperlink>
      <w:r w:rsidRPr="00AB4EDD">
        <w:rPr>
          <w:rFonts w:ascii="Century Gothic" w:eastAsia="Century Gothic" w:hAnsi="Century Gothic" w:cs="Century Gothic"/>
          <w:sz w:val="22"/>
          <w:szCs w:val="22"/>
        </w:rPr>
        <w:t xml:space="preserve"> por el Centro de Visitantes del DDCR.</w:t>
      </w:r>
    </w:p>
    <w:p w14:paraId="376C5C2F" w14:textId="20DDCFB0" w:rsidR="0008652E" w:rsidRPr="0008652E" w:rsidRDefault="0008652E"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Para que los visitantes puedan explorar por sí mismos las exposiciones, hay réplicas a tamaño real de la liebre árabe colocadas por todo el Centro que ofrecen explicaciones de audio pregrabadas, y las huellas de las pezuñas del </w:t>
      </w:r>
      <w:proofErr w:type="spellStart"/>
      <w:r w:rsidRPr="0008652E">
        <w:rPr>
          <w:rFonts w:ascii="Century Gothic" w:eastAsia="Century Gothic" w:hAnsi="Century Gothic" w:cs="Century Gothic"/>
          <w:sz w:val="22"/>
          <w:szCs w:val="22"/>
        </w:rPr>
        <w:t>Orix</w:t>
      </w:r>
      <w:proofErr w:type="spellEnd"/>
      <w:r w:rsidRPr="0008652E">
        <w:rPr>
          <w:rFonts w:ascii="Century Gothic" w:eastAsia="Century Gothic" w:hAnsi="Century Gothic" w:cs="Century Gothic"/>
          <w:sz w:val="22"/>
          <w:szCs w:val="22"/>
        </w:rPr>
        <w:t xml:space="preserve"> en el suelo guían a los visitantes en su viaje de una sala a otra. Tras recorrer las salas, los visitantes pueden </w:t>
      </w:r>
      <w:r w:rsidRPr="0008652E">
        <w:rPr>
          <w:rFonts w:ascii="Century Gothic" w:eastAsia="Century Gothic" w:hAnsi="Century Gothic" w:cs="Century Gothic"/>
          <w:sz w:val="22"/>
          <w:szCs w:val="22"/>
        </w:rPr>
        <w:lastRenderedPageBreak/>
        <w:t>intentar avistar animales de verdad o simplemente disfrutar de unas magníficas vistas del desierto desde una plataforma elevada.</w:t>
      </w:r>
    </w:p>
    <w:p w14:paraId="14B2B5F3" w14:textId="0A455515" w:rsidR="0008652E" w:rsidRDefault="0008652E"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08652E">
        <w:rPr>
          <w:rFonts w:ascii="Century Gothic" w:eastAsia="Century Gothic" w:hAnsi="Century Gothic" w:cs="Century Gothic"/>
          <w:sz w:val="22"/>
          <w:szCs w:val="22"/>
        </w:rPr>
        <w:t xml:space="preserve"> Inicialmente, el Centro de Visitantes del DDCR se centrará en grupos escolares y visitantes que lleguen como parte de experiencias de safari reservadas a través de uno de los operadores turísticos autorizados de la reserva: </w:t>
      </w:r>
      <w:proofErr w:type="spellStart"/>
      <w:r w:rsidRPr="0008652E">
        <w:rPr>
          <w:rFonts w:ascii="Century Gothic" w:eastAsia="Century Gothic" w:hAnsi="Century Gothic" w:cs="Century Gothic"/>
          <w:sz w:val="22"/>
          <w:szCs w:val="22"/>
        </w:rPr>
        <w:t>Arabian</w:t>
      </w:r>
      <w:proofErr w:type="spellEnd"/>
      <w:r w:rsidRPr="0008652E">
        <w:rPr>
          <w:rFonts w:ascii="Century Gothic" w:eastAsia="Century Gothic" w:hAnsi="Century Gothic" w:cs="Century Gothic"/>
          <w:sz w:val="22"/>
          <w:szCs w:val="22"/>
        </w:rPr>
        <w:t xml:space="preserve"> </w:t>
      </w:r>
      <w:proofErr w:type="spellStart"/>
      <w:r w:rsidRPr="0008652E">
        <w:rPr>
          <w:rFonts w:ascii="Century Gothic" w:eastAsia="Century Gothic" w:hAnsi="Century Gothic" w:cs="Century Gothic"/>
          <w:sz w:val="22"/>
          <w:szCs w:val="22"/>
        </w:rPr>
        <w:t>Adventures</w:t>
      </w:r>
      <w:proofErr w:type="spellEnd"/>
      <w:r w:rsidRPr="0008652E">
        <w:rPr>
          <w:rFonts w:ascii="Century Gothic" w:eastAsia="Century Gothic" w:hAnsi="Century Gothic" w:cs="Century Gothic"/>
          <w:sz w:val="22"/>
          <w:szCs w:val="22"/>
        </w:rPr>
        <w:t xml:space="preserve">, </w:t>
      </w:r>
      <w:proofErr w:type="spellStart"/>
      <w:r w:rsidRPr="0008652E">
        <w:rPr>
          <w:rFonts w:ascii="Century Gothic" w:eastAsia="Century Gothic" w:hAnsi="Century Gothic" w:cs="Century Gothic"/>
          <w:sz w:val="22"/>
          <w:szCs w:val="22"/>
        </w:rPr>
        <w:t>Sand</w:t>
      </w:r>
      <w:proofErr w:type="spellEnd"/>
      <w:r w:rsidRPr="0008652E">
        <w:rPr>
          <w:rFonts w:ascii="Century Gothic" w:eastAsia="Century Gothic" w:hAnsi="Century Gothic" w:cs="Century Gothic"/>
          <w:sz w:val="22"/>
          <w:szCs w:val="22"/>
        </w:rPr>
        <w:t xml:space="preserve"> Sherpa, </w:t>
      </w:r>
      <w:proofErr w:type="spellStart"/>
      <w:r w:rsidRPr="0008652E">
        <w:rPr>
          <w:rFonts w:ascii="Century Gothic" w:eastAsia="Century Gothic" w:hAnsi="Century Gothic" w:cs="Century Gothic"/>
          <w:sz w:val="22"/>
          <w:szCs w:val="22"/>
        </w:rPr>
        <w:t>Travco</w:t>
      </w:r>
      <w:proofErr w:type="spellEnd"/>
      <w:r w:rsidRPr="0008652E">
        <w:rPr>
          <w:rFonts w:ascii="Century Gothic" w:eastAsia="Century Gothic" w:hAnsi="Century Gothic" w:cs="Century Gothic"/>
          <w:sz w:val="22"/>
          <w:szCs w:val="22"/>
        </w:rPr>
        <w:t xml:space="preserve">, 57 </w:t>
      </w:r>
      <w:proofErr w:type="spellStart"/>
      <w:r w:rsidRPr="0008652E">
        <w:rPr>
          <w:rFonts w:ascii="Century Gothic" w:eastAsia="Century Gothic" w:hAnsi="Century Gothic" w:cs="Century Gothic"/>
          <w:sz w:val="22"/>
          <w:szCs w:val="22"/>
        </w:rPr>
        <w:t>Heritage</w:t>
      </w:r>
      <w:proofErr w:type="spellEnd"/>
      <w:r w:rsidRPr="0008652E">
        <w:rPr>
          <w:rFonts w:ascii="Century Gothic" w:eastAsia="Century Gothic" w:hAnsi="Century Gothic" w:cs="Century Gothic"/>
          <w:sz w:val="22"/>
          <w:szCs w:val="22"/>
        </w:rPr>
        <w:t xml:space="preserve">, Nara </w:t>
      </w:r>
      <w:proofErr w:type="spellStart"/>
      <w:r w:rsidRPr="0008652E">
        <w:rPr>
          <w:rFonts w:ascii="Century Gothic" w:eastAsia="Century Gothic" w:hAnsi="Century Gothic" w:cs="Century Gothic"/>
          <w:sz w:val="22"/>
          <w:szCs w:val="22"/>
        </w:rPr>
        <w:t>Desert</w:t>
      </w:r>
      <w:proofErr w:type="spellEnd"/>
      <w:r w:rsidRPr="0008652E">
        <w:rPr>
          <w:rFonts w:ascii="Century Gothic" w:eastAsia="Century Gothic" w:hAnsi="Century Gothic" w:cs="Century Gothic"/>
          <w:sz w:val="22"/>
          <w:szCs w:val="22"/>
        </w:rPr>
        <w:t xml:space="preserve"> Escapes y </w:t>
      </w:r>
      <w:proofErr w:type="spellStart"/>
      <w:r w:rsidRPr="0008652E">
        <w:rPr>
          <w:rFonts w:ascii="Century Gothic" w:eastAsia="Century Gothic" w:hAnsi="Century Gothic" w:cs="Century Gothic"/>
          <w:sz w:val="22"/>
          <w:szCs w:val="22"/>
        </w:rPr>
        <w:t>Platinum</w:t>
      </w:r>
      <w:proofErr w:type="spellEnd"/>
      <w:r w:rsidRPr="0008652E">
        <w:rPr>
          <w:rFonts w:ascii="Century Gothic" w:eastAsia="Century Gothic" w:hAnsi="Century Gothic" w:cs="Century Gothic"/>
          <w:sz w:val="22"/>
          <w:szCs w:val="22"/>
        </w:rPr>
        <w:t xml:space="preserve"> </w:t>
      </w:r>
      <w:proofErr w:type="spellStart"/>
      <w:r w:rsidRPr="0008652E">
        <w:rPr>
          <w:rFonts w:ascii="Century Gothic" w:eastAsia="Century Gothic" w:hAnsi="Century Gothic" w:cs="Century Gothic"/>
          <w:sz w:val="22"/>
          <w:szCs w:val="22"/>
        </w:rPr>
        <w:t>Heritage</w:t>
      </w:r>
      <w:proofErr w:type="spellEnd"/>
      <w:r w:rsidRPr="0008652E">
        <w:rPr>
          <w:rFonts w:ascii="Century Gothic" w:eastAsia="Century Gothic" w:hAnsi="Century Gothic" w:cs="Century Gothic"/>
          <w:sz w:val="22"/>
          <w:szCs w:val="22"/>
        </w:rPr>
        <w:t>.  Los visitantes que acudan sin cita previa también podrán disfrutar de las exposiciones del centro por una entrada nominal de 35 AED para adultos y 25 AED para niños.</w:t>
      </w:r>
    </w:p>
    <w:p w14:paraId="2E0D79F6" w14:textId="77777777" w:rsidR="00AB4EDD" w:rsidRDefault="00AB4EDD" w:rsidP="00E10B97">
      <w:pPr>
        <w:pBdr>
          <w:top w:val="nil"/>
          <w:left w:val="nil"/>
          <w:bottom w:val="nil"/>
          <w:right w:val="nil"/>
          <w:between w:val="nil"/>
        </w:pBdr>
        <w:spacing w:before="280" w:line="360" w:lineRule="auto"/>
        <w:jc w:val="both"/>
        <w:rPr>
          <w:rFonts w:ascii="Century Gothic" w:hAnsi="Century Gothic"/>
          <w:b/>
          <w:bCs/>
          <w:sz w:val="18"/>
          <w:szCs w:val="18"/>
        </w:rPr>
      </w:pPr>
    </w:p>
    <w:p w14:paraId="20BEB809" w14:textId="15B0788D" w:rsidR="00E10B97" w:rsidRPr="00AB4EDD" w:rsidRDefault="00E10B97" w:rsidP="00E10B97">
      <w:pPr>
        <w:pBdr>
          <w:top w:val="nil"/>
          <w:left w:val="nil"/>
          <w:bottom w:val="nil"/>
          <w:right w:val="nil"/>
          <w:between w:val="nil"/>
        </w:pBdr>
        <w:spacing w:before="280" w:line="360" w:lineRule="auto"/>
        <w:jc w:val="both"/>
        <w:rPr>
          <w:rFonts w:ascii="Century Gothic" w:hAnsi="Century Gothic"/>
          <w:b/>
          <w:bCs/>
          <w:i/>
          <w:iCs/>
          <w:sz w:val="18"/>
          <w:szCs w:val="18"/>
        </w:rPr>
      </w:pPr>
      <w:r w:rsidRPr="00AB4EDD">
        <w:rPr>
          <w:rFonts w:ascii="Century Gothic" w:hAnsi="Century Gothic"/>
          <w:b/>
          <w:bCs/>
          <w:i/>
          <w:iCs/>
          <w:sz w:val="18"/>
          <w:szCs w:val="18"/>
        </w:rPr>
        <w:t xml:space="preserve">Acerca de la Reserva para la Conservación del Desierto de </w:t>
      </w:r>
      <w:proofErr w:type="spellStart"/>
      <w:r w:rsidRPr="00AB4EDD">
        <w:rPr>
          <w:rFonts w:ascii="Century Gothic" w:hAnsi="Century Gothic"/>
          <w:b/>
          <w:bCs/>
          <w:i/>
          <w:iCs/>
          <w:sz w:val="18"/>
          <w:szCs w:val="18"/>
        </w:rPr>
        <w:t>Dubai</w:t>
      </w:r>
      <w:proofErr w:type="spellEnd"/>
      <w:r w:rsidRPr="00AB4EDD">
        <w:rPr>
          <w:rFonts w:ascii="Century Gothic" w:hAnsi="Century Gothic"/>
          <w:b/>
          <w:bCs/>
          <w:i/>
          <w:iCs/>
          <w:sz w:val="18"/>
          <w:szCs w:val="18"/>
        </w:rPr>
        <w:t xml:space="preserve"> (DDCR)</w:t>
      </w:r>
    </w:p>
    <w:p w14:paraId="4FA6FB13" w14:textId="6F660601"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Fruto del compromiso del Gobierno de Dub</w:t>
      </w:r>
      <w:r>
        <w:rPr>
          <w:rFonts w:ascii="Century Gothic" w:hAnsi="Century Gothic"/>
          <w:sz w:val="18"/>
          <w:szCs w:val="18"/>
        </w:rPr>
        <w:t>á</w:t>
      </w:r>
      <w:r w:rsidRPr="00E10B97">
        <w:rPr>
          <w:rFonts w:ascii="Century Gothic" w:hAnsi="Century Gothic"/>
          <w:sz w:val="18"/>
          <w:szCs w:val="18"/>
        </w:rPr>
        <w:t>i de preservar el hábitat desértico y la biodiversidad únicos del emirato, la DDCR es el primer parque nacional de los EAU, con una superficie de 225 kilómetros cuadrados, lo que equivale aproximadamente al 5% de la superficie total de Dub</w:t>
      </w:r>
      <w:r>
        <w:rPr>
          <w:rFonts w:ascii="Century Gothic" w:hAnsi="Century Gothic"/>
          <w:sz w:val="18"/>
          <w:szCs w:val="18"/>
        </w:rPr>
        <w:t>á</w:t>
      </w:r>
      <w:r w:rsidRPr="00E10B97">
        <w:rPr>
          <w:rFonts w:ascii="Century Gothic" w:hAnsi="Century Gothic"/>
          <w:sz w:val="18"/>
          <w:szCs w:val="18"/>
        </w:rPr>
        <w:t>i.</w:t>
      </w:r>
    </w:p>
    <w:p w14:paraId="53FADE85" w14:textId="24474552"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 xml:space="preserve">Desde su creación en 2002, el Grupo </w:t>
      </w:r>
      <w:proofErr w:type="spellStart"/>
      <w:r w:rsidRPr="00E10B97">
        <w:rPr>
          <w:rFonts w:ascii="Century Gothic" w:hAnsi="Century Gothic"/>
          <w:sz w:val="18"/>
          <w:szCs w:val="18"/>
        </w:rPr>
        <w:t>Emirates</w:t>
      </w:r>
      <w:proofErr w:type="spellEnd"/>
      <w:r w:rsidRPr="00E10B97">
        <w:rPr>
          <w:rFonts w:ascii="Century Gothic" w:hAnsi="Century Gothic"/>
          <w:sz w:val="18"/>
          <w:szCs w:val="18"/>
        </w:rPr>
        <w:t xml:space="preserve"> ha apoyado esta importante iniciativa explotando la reserva y gestionando sus vastas instalaciones en nombre del Gobierno de Dub</w:t>
      </w:r>
      <w:r>
        <w:rPr>
          <w:rFonts w:ascii="Century Gothic" w:hAnsi="Century Gothic"/>
          <w:sz w:val="18"/>
          <w:szCs w:val="18"/>
        </w:rPr>
        <w:t>á</w:t>
      </w:r>
      <w:r w:rsidRPr="00E10B97">
        <w:rPr>
          <w:rFonts w:ascii="Century Gothic" w:hAnsi="Century Gothic"/>
          <w:sz w:val="18"/>
          <w:szCs w:val="18"/>
        </w:rPr>
        <w:t>i.</w:t>
      </w:r>
    </w:p>
    <w:p w14:paraId="5A376D41" w14:textId="77777777"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 xml:space="preserve">El Grupo </w:t>
      </w:r>
      <w:proofErr w:type="spellStart"/>
      <w:r w:rsidRPr="00E10B97">
        <w:rPr>
          <w:rFonts w:ascii="Century Gothic" w:hAnsi="Century Gothic"/>
          <w:sz w:val="18"/>
          <w:szCs w:val="18"/>
        </w:rPr>
        <w:t>Emirates</w:t>
      </w:r>
      <w:proofErr w:type="spellEnd"/>
      <w:r w:rsidRPr="00E10B97">
        <w:rPr>
          <w:rFonts w:ascii="Century Gothic" w:hAnsi="Century Gothic"/>
          <w:sz w:val="18"/>
          <w:szCs w:val="18"/>
        </w:rPr>
        <w:t xml:space="preserve"> ha invertido más de 28 millones de AED en la Reserva para financiar y apoyar la conservación del paisaje desértico natural y de su fauna y flora autóctonas. El hábitat desértico interior protegido alberga actualmente más de 560 especies diferentes de plantas y árboles, aves, mamíferos, reptiles y artrópodos, más del doble de las 150 especies autóctonas originales que prosperaban en la zona antes de los esfuerzos del DDCR. Las eficaces estrategias de gestión de la Reserva han contribuido a fomentar los procesos naturales que conducen a la recuperación del hábitat desértico y su rehabilitación.</w:t>
      </w:r>
    </w:p>
    <w:p w14:paraId="1B6747C2" w14:textId="41568D91"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La DDCR opera bajo la supervisión de la Junta de Conservación de Dub</w:t>
      </w:r>
      <w:r>
        <w:rPr>
          <w:rFonts w:ascii="Century Gothic" w:hAnsi="Century Gothic"/>
          <w:sz w:val="18"/>
          <w:szCs w:val="18"/>
        </w:rPr>
        <w:t>á</w:t>
      </w:r>
      <w:r w:rsidRPr="00E10B97">
        <w:rPr>
          <w:rFonts w:ascii="Century Gothic" w:hAnsi="Century Gothic"/>
          <w:sz w:val="18"/>
          <w:szCs w:val="18"/>
        </w:rPr>
        <w:t xml:space="preserve">i (DCB), presidida por Su Alteza el Jeque Ahmed </w:t>
      </w:r>
      <w:proofErr w:type="spellStart"/>
      <w:r w:rsidRPr="00E10B97">
        <w:rPr>
          <w:rFonts w:ascii="Century Gothic" w:hAnsi="Century Gothic"/>
          <w:sz w:val="18"/>
          <w:szCs w:val="18"/>
        </w:rPr>
        <w:t>bin</w:t>
      </w:r>
      <w:proofErr w:type="spellEnd"/>
      <w:r w:rsidRPr="00E10B97">
        <w:rPr>
          <w:rFonts w:ascii="Century Gothic" w:hAnsi="Century Gothic"/>
          <w:sz w:val="18"/>
          <w:szCs w:val="18"/>
        </w:rPr>
        <w:t xml:space="preserve"> </w:t>
      </w:r>
      <w:proofErr w:type="spellStart"/>
      <w:r w:rsidRPr="00E10B97">
        <w:rPr>
          <w:rFonts w:ascii="Century Gothic" w:hAnsi="Century Gothic"/>
          <w:sz w:val="18"/>
          <w:szCs w:val="18"/>
        </w:rPr>
        <w:t>Saeed</w:t>
      </w:r>
      <w:proofErr w:type="spellEnd"/>
      <w:r w:rsidRPr="00E10B97">
        <w:rPr>
          <w:rFonts w:ascii="Century Gothic" w:hAnsi="Century Gothic"/>
          <w:sz w:val="18"/>
          <w:szCs w:val="18"/>
        </w:rPr>
        <w:t xml:space="preserve"> Al Maktoum. Desde la creación de la DDCR, la población de gacelas de las arenas, gacelas árabes y </w:t>
      </w:r>
      <w:proofErr w:type="spellStart"/>
      <w:r w:rsidRPr="00E10B97">
        <w:rPr>
          <w:rFonts w:ascii="Century Gothic" w:hAnsi="Century Gothic"/>
          <w:sz w:val="18"/>
          <w:szCs w:val="18"/>
        </w:rPr>
        <w:t>órix</w:t>
      </w:r>
      <w:proofErr w:type="spellEnd"/>
      <w:r w:rsidRPr="00E10B97">
        <w:rPr>
          <w:rFonts w:ascii="Century Gothic" w:hAnsi="Century Gothic"/>
          <w:sz w:val="18"/>
          <w:szCs w:val="18"/>
        </w:rPr>
        <w:t xml:space="preserve"> árabes ha pasado de 230 en un principio a más de 1.300 en la actualidad. Otros 171 </w:t>
      </w:r>
      <w:proofErr w:type="spellStart"/>
      <w:r w:rsidRPr="00E10B97">
        <w:rPr>
          <w:rFonts w:ascii="Century Gothic" w:hAnsi="Century Gothic"/>
          <w:sz w:val="18"/>
          <w:szCs w:val="18"/>
        </w:rPr>
        <w:t>órix</w:t>
      </w:r>
      <w:proofErr w:type="spellEnd"/>
      <w:r w:rsidRPr="00E10B97">
        <w:rPr>
          <w:rFonts w:ascii="Century Gothic" w:hAnsi="Century Gothic"/>
          <w:sz w:val="18"/>
          <w:szCs w:val="18"/>
        </w:rPr>
        <w:t xml:space="preserve"> árabes han sido reubicados en otras zonas protegidas de los EAU. Otro de sus logros es la reintroducción de 2.800 hubaras, o avutardas de </w:t>
      </w:r>
      <w:proofErr w:type="spellStart"/>
      <w:r w:rsidRPr="00E10B97">
        <w:rPr>
          <w:rFonts w:ascii="Century Gothic" w:hAnsi="Century Gothic"/>
          <w:sz w:val="18"/>
          <w:szCs w:val="18"/>
        </w:rPr>
        <w:t>Macqueen</w:t>
      </w:r>
      <w:proofErr w:type="spellEnd"/>
      <w:r w:rsidRPr="00E10B97">
        <w:rPr>
          <w:rFonts w:ascii="Century Gothic" w:hAnsi="Century Gothic"/>
          <w:sz w:val="18"/>
          <w:szCs w:val="18"/>
        </w:rPr>
        <w:t>, que deambulan libremente por el entorno seguro de la Reserva.</w:t>
      </w:r>
    </w:p>
    <w:p w14:paraId="64389B97" w14:textId="77777777"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 xml:space="preserve">En la vasta zona florecen más de 31.000 árboles autóctonos, entre ellos el </w:t>
      </w:r>
      <w:proofErr w:type="spellStart"/>
      <w:r w:rsidRPr="00E10B97">
        <w:rPr>
          <w:rFonts w:ascii="Century Gothic" w:hAnsi="Century Gothic"/>
          <w:sz w:val="18"/>
          <w:szCs w:val="18"/>
        </w:rPr>
        <w:t>Ghaf</w:t>
      </w:r>
      <w:proofErr w:type="spellEnd"/>
      <w:r w:rsidRPr="00E10B97">
        <w:rPr>
          <w:rFonts w:ascii="Century Gothic" w:hAnsi="Century Gothic"/>
          <w:sz w:val="18"/>
          <w:szCs w:val="18"/>
        </w:rPr>
        <w:t>, originario del desierto y conocido por su capacidad para sobrevivir a sus condiciones climáticas extremas sin riego.</w:t>
      </w:r>
    </w:p>
    <w:p w14:paraId="6AB5DFF2" w14:textId="77777777" w:rsidR="00E10B97" w:rsidRP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p>
    <w:p w14:paraId="5E5D3CED" w14:textId="16064D7A" w:rsidR="00E10B97" w:rsidRDefault="00E10B97" w:rsidP="00E10B97">
      <w:pPr>
        <w:pBdr>
          <w:top w:val="nil"/>
          <w:left w:val="nil"/>
          <w:bottom w:val="nil"/>
          <w:right w:val="nil"/>
          <w:between w:val="nil"/>
        </w:pBdr>
        <w:spacing w:before="280" w:line="360" w:lineRule="auto"/>
        <w:jc w:val="both"/>
        <w:rPr>
          <w:rFonts w:ascii="Century Gothic" w:hAnsi="Century Gothic"/>
          <w:sz w:val="18"/>
          <w:szCs w:val="18"/>
        </w:rPr>
      </w:pPr>
      <w:r w:rsidRPr="00E10B97">
        <w:rPr>
          <w:rFonts w:ascii="Century Gothic" w:hAnsi="Century Gothic"/>
          <w:sz w:val="18"/>
          <w:szCs w:val="18"/>
        </w:rPr>
        <w:t xml:space="preserve">Para más información: </w:t>
      </w:r>
      <w:hyperlink r:id="rId9" w:history="1">
        <w:r w:rsidR="00AB4EDD" w:rsidRPr="003234E5">
          <w:rPr>
            <w:rStyle w:val="Hipervnculo"/>
            <w:rFonts w:ascii="Century Gothic" w:hAnsi="Century Gothic"/>
            <w:sz w:val="18"/>
            <w:szCs w:val="18"/>
          </w:rPr>
          <w:t>www.ddcr.org</w:t>
        </w:r>
      </w:hyperlink>
      <w:r w:rsidR="00AB4EDD">
        <w:rPr>
          <w:rFonts w:ascii="Century Gothic" w:hAnsi="Century Gothic"/>
          <w:sz w:val="18"/>
          <w:szCs w:val="18"/>
        </w:rPr>
        <w:t xml:space="preserve"> </w:t>
      </w:r>
    </w:p>
    <w:p w14:paraId="36C8793E" w14:textId="6ACF8052" w:rsidR="00D23EFB" w:rsidRPr="00E80D5A" w:rsidRDefault="00D23EFB" w:rsidP="0008652E">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sidRPr="005B6B8C">
        <w:rPr>
          <w:rFonts w:ascii="Century Gothic" w:hAnsi="Century Gothic"/>
          <w:b/>
          <w:bCs/>
          <w:i/>
          <w:iCs/>
          <w:color w:val="000000"/>
          <w:sz w:val="18"/>
          <w:szCs w:val="18"/>
        </w:rPr>
        <w:t xml:space="preserve">Acerca de </w:t>
      </w:r>
      <w:proofErr w:type="spellStart"/>
      <w:r w:rsidRPr="005B6B8C">
        <w:rPr>
          <w:rFonts w:ascii="Century Gothic" w:hAnsi="Century Gothic"/>
          <w:b/>
          <w:bCs/>
          <w:i/>
          <w:iCs/>
          <w:color w:val="000000"/>
          <w:sz w:val="18"/>
          <w:szCs w:val="18"/>
        </w:rPr>
        <w:t>Emirate</w:t>
      </w:r>
      <w:r w:rsidR="00AB4EDD">
        <w:rPr>
          <w:rFonts w:ascii="Century Gothic" w:hAnsi="Century Gothic"/>
          <w:b/>
          <w:bCs/>
          <w:i/>
          <w:iCs/>
          <w:color w:val="000000"/>
          <w:sz w:val="18"/>
          <w:szCs w:val="18"/>
        </w:rPr>
        <w:t>s</w:t>
      </w:r>
      <w:proofErr w:type="spellEnd"/>
    </w:p>
    <w:p w14:paraId="1A18E1D5" w14:textId="4BC1DF2F" w:rsidR="003F4A04" w:rsidRDefault="00D23EFB" w:rsidP="00442AC8">
      <w:pPr>
        <w:pBdr>
          <w:top w:val="nil"/>
          <w:left w:val="nil"/>
          <w:bottom w:val="nil"/>
          <w:right w:val="nil"/>
          <w:between w:val="nil"/>
        </w:pBdr>
        <w:spacing w:before="280" w:line="360" w:lineRule="auto"/>
        <w:jc w:val="both"/>
        <w:rPr>
          <w:rFonts w:ascii="Century Gothic" w:hAnsi="Century Gothic"/>
          <w:sz w:val="18"/>
          <w:szCs w:val="18"/>
        </w:rPr>
      </w:pP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la mayor aerolínea internacional de pasajeros, opera en España desde 2010. La compañía conecta a los viajeros españoles a través de su </w:t>
      </w:r>
      <w:proofErr w:type="spellStart"/>
      <w:r w:rsidRPr="00006FF4">
        <w:rPr>
          <w:rFonts w:ascii="Century Gothic" w:hAnsi="Century Gothic"/>
          <w:sz w:val="18"/>
          <w:szCs w:val="18"/>
        </w:rPr>
        <w:t>hub</w:t>
      </w:r>
      <w:proofErr w:type="spellEnd"/>
      <w:r w:rsidRPr="00006FF4">
        <w:rPr>
          <w:rFonts w:ascii="Century Gothic" w:hAnsi="Century Gothic"/>
          <w:sz w:val="18"/>
          <w:szCs w:val="18"/>
        </w:rPr>
        <w:t xml:space="preserve"> global en Dubái con más de 130 destinos en todo el mundo.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une Dubái con Madrid y Barcelona, así como también Ciudad de México vía Barcelona. </w:t>
      </w:r>
      <w:proofErr w:type="spellStart"/>
      <w:r w:rsidRPr="00006FF4">
        <w:rPr>
          <w:rFonts w:ascii="Century Gothic" w:hAnsi="Century Gothic"/>
          <w:sz w:val="18"/>
          <w:szCs w:val="18"/>
        </w:rPr>
        <w:t>Emirates</w:t>
      </w:r>
      <w:proofErr w:type="spellEnd"/>
      <w:r w:rsidRPr="00006FF4">
        <w:rPr>
          <w:rFonts w:ascii="Century Gothic" w:hAnsi="Century Gothic"/>
          <w:sz w:val="18"/>
          <w:szCs w:val="18"/>
        </w:rPr>
        <w:t xml:space="preserve"> ha conseguido el reconocimiento a la "Mejor Primera Clase del Mundo" en los premios Tripadvisor </w:t>
      </w:r>
      <w:proofErr w:type="spellStart"/>
      <w:r w:rsidRPr="00006FF4">
        <w:rPr>
          <w:rFonts w:ascii="Century Gothic" w:hAnsi="Century Gothic"/>
          <w:sz w:val="18"/>
          <w:szCs w:val="18"/>
        </w:rPr>
        <w:t>Travelers</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para aerolíneas en 2020; los galardones al "Mejor </w:t>
      </w:r>
      <w:proofErr w:type="spellStart"/>
      <w:r w:rsidRPr="00006FF4">
        <w:rPr>
          <w:rFonts w:ascii="Century Gothic" w:hAnsi="Century Gothic"/>
          <w:sz w:val="18"/>
          <w:szCs w:val="18"/>
        </w:rPr>
        <w:t>Wi</w:t>
      </w:r>
      <w:proofErr w:type="spellEnd"/>
      <w:r w:rsidRPr="00006FF4">
        <w:rPr>
          <w:rFonts w:ascii="Century Gothic" w:hAnsi="Century Gothic"/>
          <w:sz w:val="18"/>
          <w:szCs w:val="18"/>
        </w:rPr>
        <w:t xml:space="preserve">-Fi y Mejor Comida y Bebida" en Oriente Medio en los APEX Regional Passenger </w:t>
      </w:r>
      <w:proofErr w:type="spellStart"/>
      <w:r w:rsidRPr="00006FF4">
        <w:rPr>
          <w:rFonts w:ascii="Century Gothic" w:hAnsi="Century Gothic"/>
          <w:sz w:val="18"/>
          <w:szCs w:val="18"/>
        </w:rPr>
        <w:t>Choice</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Awards</w:t>
      </w:r>
      <w:proofErr w:type="spellEnd"/>
      <w:r w:rsidRPr="00006FF4">
        <w:rPr>
          <w:rFonts w:ascii="Century Gothic" w:hAnsi="Century Gothic"/>
          <w:sz w:val="18"/>
          <w:szCs w:val="18"/>
        </w:rPr>
        <w:t xml:space="preserve">® 2022; "Mejor Entretenimiento a </w:t>
      </w:r>
      <w:proofErr w:type="spellStart"/>
      <w:r w:rsidRPr="00006FF4">
        <w:rPr>
          <w:rFonts w:ascii="Century Gothic" w:hAnsi="Century Gothic"/>
          <w:sz w:val="18"/>
          <w:szCs w:val="18"/>
        </w:rPr>
        <w:t>Bordo"en</w:t>
      </w:r>
      <w:proofErr w:type="spellEnd"/>
      <w:r w:rsidRPr="00006FF4">
        <w:rPr>
          <w:rFonts w:ascii="Century Gothic" w:hAnsi="Century Gothic"/>
          <w:sz w:val="18"/>
          <w:szCs w:val="18"/>
        </w:rPr>
        <w:t xml:space="preserve"> los premios Business </w:t>
      </w:r>
      <w:proofErr w:type="spellStart"/>
      <w:r w:rsidRPr="00006FF4">
        <w:rPr>
          <w:rFonts w:ascii="Century Gothic" w:hAnsi="Century Gothic"/>
          <w:sz w:val="18"/>
          <w:szCs w:val="18"/>
        </w:rPr>
        <w:t>Traveller</w:t>
      </w:r>
      <w:proofErr w:type="spellEnd"/>
      <w:r w:rsidRPr="00006FF4">
        <w:rPr>
          <w:rFonts w:ascii="Century Gothic" w:hAnsi="Century Gothic"/>
          <w:sz w:val="18"/>
          <w:szCs w:val="18"/>
        </w:rPr>
        <w:t xml:space="preserve"> de 2020; y "Mejor Aerolínea del Mundo en Entretenimiento a Bordo" en los premios </w:t>
      </w:r>
      <w:proofErr w:type="spellStart"/>
      <w:r w:rsidRPr="00006FF4">
        <w:rPr>
          <w:rFonts w:ascii="Century Gothic" w:hAnsi="Century Gothic"/>
          <w:sz w:val="18"/>
          <w:szCs w:val="18"/>
        </w:rPr>
        <w:t>SkyTrax</w:t>
      </w:r>
      <w:proofErr w:type="spellEnd"/>
      <w:r w:rsidRPr="00006FF4">
        <w:rPr>
          <w:rFonts w:ascii="Century Gothic" w:hAnsi="Century Gothic"/>
          <w:sz w:val="18"/>
          <w:szCs w:val="18"/>
        </w:rPr>
        <w:t xml:space="preserve"> </w:t>
      </w:r>
      <w:proofErr w:type="spellStart"/>
      <w:r w:rsidRPr="00006FF4">
        <w:rPr>
          <w:rFonts w:ascii="Century Gothic" w:hAnsi="Century Gothic"/>
          <w:sz w:val="18"/>
          <w:szCs w:val="18"/>
        </w:rPr>
        <w:t>World</w:t>
      </w:r>
      <w:proofErr w:type="spellEnd"/>
      <w:r w:rsidRPr="00006FF4">
        <w:rPr>
          <w:rFonts w:ascii="Century Gothic" w:hAnsi="Century Gothic"/>
          <w:sz w:val="18"/>
          <w:szCs w:val="18"/>
        </w:rPr>
        <w:t xml:space="preserve"> Airlines de 2022.</w:t>
      </w:r>
    </w:p>
    <w:sectPr w:rsidR="003F4A04">
      <w:headerReference w:type="default" r:id="rId10"/>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AF2E5" w14:textId="77777777" w:rsidR="00C27211" w:rsidRDefault="00C27211">
      <w:r>
        <w:separator/>
      </w:r>
    </w:p>
  </w:endnote>
  <w:endnote w:type="continuationSeparator" w:id="0">
    <w:p w14:paraId="3CBC77F1" w14:textId="77777777" w:rsidR="00C27211" w:rsidRDefault="00C2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506E4" w14:textId="77777777" w:rsidR="00C27211" w:rsidRDefault="00C27211">
      <w:r>
        <w:separator/>
      </w:r>
    </w:p>
  </w:footnote>
  <w:footnote w:type="continuationSeparator" w:id="0">
    <w:p w14:paraId="15D3035F" w14:textId="77777777" w:rsidR="00C27211" w:rsidRDefault="00C2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25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r>
      <w:rPr>
        <w:noProof/>
        <w:lang w:eastAsia="es-ES"/>
      </w:rPr>
      <w:drawing>
        <wp:anchor distT="0" distB="0" distL="0" distR="0" simplePos="0" relativeHeight="251658240" behindDoc="0" locked="0" layoutInCell="1" hidden="0" allowOverlap="1" wp14:anchorId="121DB0E9" wp14:editId="1818A23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DE46FB7"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0F9E81DF"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4EE8F8F0"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5AA3007A"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p w14:paraId="3A563ABD" w14:textId="77777777" w:rsidR="00994E44" w:rsidRDefault="00994E4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658"/>
    <w:multiLevelType w:val="hybridMultilevel"/>
    <w:tmpl w:val="E2848C4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50A080B"/>
    <w:multiLevelType w:val="hybridMultilevel"/>
    <w:tmpl w:val="76D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5435B1"/>
    <w:multiLevelType w:val="hybridMultilevel"/>
    <w:tmpl w:val="19FE7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F413B2"/>
    <w:multiLevelType w:val="hybridMultilevel"/>
    <w:tmpl w:val="4BA69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532E7"/>
    <w:multiLevelType w:val="hybridMultilevel"/>
    <w:tmpl w:val="1D967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461603"/>
    <w:multiLevelType w:val="hybridMultilevel"/>
    <w:tmpl w:val="407420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557C78"/>
    <w:multiLevelType w:val="hybridMultilevel"/>
    <w:tmpl w:val="D94AA6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E33833"/>
    <w:multiLevelType w:val="hybridMultilevel"/>
    <w:tmpl w:val="5BC61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BE01CD"/>
    <w:multiLevelType w:val="hybridMultilevel"/>
    <w:tmpl w:val="8B4C8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CA774F"/>
    <w:multiLevelType w:val="hybridMultilevel"/>
    <w:tmpl w:val="D2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4A05B6"/>
    <w:multiLevelType w:val="hybridMultilevel"/>
    <w:tmpl w:val="A7EE0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96618"/>
    <w:multiLevelType w:val="hybridMultilevel"/>
    <w:tmpl w:val="C9369890"/>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5764A9"/>
    <w:multiLevelType w:val="hybridMultilevel"/>
    <w:tmpl w:val="DAF2F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94772C"/>
    <w:multiLevelType w:val="hybridMultilevel"/>
    <w:tmpl w:val="A5D456F2"/>
    <w:lvl w:ilvl="0" w:tplc="931AE64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AD0857"/>
    <w:multiLevelType w:val="hybridMultilevel"/>
    <w:tmpl w:val="1E60C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BC074E"/>
    <w:multiLevelType w:val="hybridMultilevel"/>
    <w:tmpl w:val="B35090EA"/>
    <w:lvl w:ilvl="0" w:tplc="C74E70DA">
      <w:start w:val="1"/>
      <w:numFmt w:val="bullet"/>
      <w:lvlText w:val=""/>
      <w:lvlJc w:val="left"/>
      <w:pPr>
        <w:ind w:left="360" w:hanging="360"/>
      </w:pPr>
      <w:rPr>
        <w:rFonts w:ascii="Symbol" w:hAnsi="Symbol" w:hint="default"/>
      </w:rPr>
    </w:lvl>
    <w:lvl w:ilvl="1" w:tplc="D60AF342">
      <w:start w:val="1"/>
      <w:numFmt w:val="bullet"/>
      <w:lvlText w:val="o"/>
      <w:lvlJc w:val="left"/>
      <w:pPr>
        <w:ind w:left="1080" w:hanging="360"/>
      </w:pPr>
      <w:rPr>
        <w:rFonts w:ascii="Courier New" w:hAnsi="Courier New" w:cs="Times New Roman" w:hint="default"/>
      </w:rPr>
    </w:lvl>
    <w:lvl w:ilvl="2" w:tplc="EDF2F4A4">
      <w:start w:val="1"/>
      <w:numFmt w:val="bullet"/>
      <w:lvlText w:val=""/>
      <w:lvlJc w:val="left"/>
      <w:pPr>
        <w:ind w:left="1800" w:hanging="360"/>
      </w:pPr>
      <w:rPr>
        <w:rFonts w:ascii="Wingdings" w:hAnsi="Wingdings" w:hint="default"/>
      </w:rPr>
    </w:lvl>
    <w:lvl w:ilvl="3" w:tplc="F392E946">
      <w:start w:val="1"/>
      <w:numFmt w:val="bullet"/>
      <w:lvlText w:val=""/>
      <w:lvlJc w:val="left"/>
      <w:pPr>
        <w:ind w:left="2520" w:hanging="360"/>
      </w:pPr>
      <w:rPr>
        <w:rFonts w:ascii="Symbol" w:hAnsi="Symbol" w:hint="default"/>
      </w:rPr>
    </w:lvl>
    <w:lvl w:ilvl="4" w:tplc="AEDE30E4">
      <w:start w:val="1"/>
      <w:numFmt w:val="bullet"/>
      <w:lvlText w:val="o"/>
      <w:lvlJc w:val="left"/>
      <w:pPr>
        <w:ind w:left="3240" w:hanging="360"/>
      </w:pPr>
      <w:rPr>
        <w:rFonts w:ascii="Courier New" w:hAnsi="Courier New" w:cs="Times New Roman" w:hint="default"/>
      </w:rPr>
    </w:lvl>
    <w:lvl w:ilvl="5" w:tplc="F7C4AD6E">
      <w:start w:val="1"/>
      <w:numFmt w:val="bullet"/>
      <w:lvlText w:val=""/>
      <w:lvlJc w:val="left"/>
      <w:pPr>
        <w:ind w:left="3960" w:hanging="360"/>
      </w:pPr>
      <w:rPr>
        <w:rFonts w:ascii="Wingdings" w:hAnsi="Wingdings" w:hint="default"/>
      </w:rPr>
    </w:lvl>
    <w:lvl w:ilvl="6" w:tplc="FBD8208A">
      <w:start w:val="1"/>
      <w:numFmt w:val="bullet"/>
      <w:lvlText w:val=""/>
      <w:lvlJc w:val="left"/>
      <w:pPr>
        <w:ind w:left="4680" w:hanging="360"/>
      </w:pPr>
      <w:rPr>
        <w:rFonts w:ascii="Symbol" w:hAnsi="Symbol" w:hint="default"/>
      </w:rPr>
    </w:lvl>
    <w:lvl w:ilvl="7" w:tplc="AEA80796">
      <w:start w:val="1"/>
      <w:numFmt w:val="bullet"/>
      <w:lvlText w:val="o"/>
      <w:lvlJc w:val="left"/>
      <w:pPr>
        <w:ind w:left="5400" w:hanging="360"/>
      </w:pPr>
      <w:rPr>
        <w:rFonts w:ascii="Courier New" w:hAnsi="Courier New" w:cs="Times New Roman" w:hint="default"/>
      </w:rPr>
    </w:lvl>
    <w:lvl w:ilvl="8" w:tplc="8646CFB2">
      <w:start w:val="1"/>
      <w:numFmt w:val="bullet"/>
      <w:lvlText w:val=""/>
      <w:lvlJc w:val="left"/>
      <w:pPr>
        <w:ind w:left="6120" w:hanging="360"/>
      </w:pPr>
      <w:rPr>
        <w:rFonts w:ascii="Wingdings" w:hAnsi="Wingdings" w:hint="default"/>
      </w:rPr>
    </w:lvl>
  </w:abstractNum>
  <w:abstractNum w:abstractNumId="16" w15:restartNumberingAfterBreak="0">
    <w:nsid w:val="3D2D2EAB"/>
    <w:multiLevelType w:val="hybridMultilevel"/>
    <w:tmpl w:val="2640A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737EF9"/>
    <w:multiLevelType w:val="hybridMultilevel"/>
    <w:tmpl w:val="CB121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924799"/>
    <w:multiLevelType w:val="hybridMultilevel"/>
    <w:tmpl w:val="1E200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3055D0C"/>
    <w:multiLevelType w:val="hybridMultilevel"/>
    <w:tmpl w:val="AF200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60404D"/>
    <w:multiLevelType w:val="hybridMultilevel"/>
    <w:tmpl w:val="1D2ED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617AB4"/>
    <w:multiLevelType w:val="hybridMultilevel"/>
    <w:tmpl w:val="502AF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AE58A9"/>
    <w:multiLevelType w:val="hybridMultilevel"/>
    <w:tmpl w:val="3CB67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23B79BB"/>
    <w:multiLevelType w:val="hybridMultilevel"/>
    <w:tmpl w:val="CAD00942"/>
    <w:lvl w:ilvl="0" w:tplc="9A9CDA2E">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38F4996"/>
    <w:multiLevelType w:val="multilevel"/>
    <w:tmpl w:val="71E6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035CBA"/>
    <w:multiLevelType w:val="hybridMultilevel"/>
    <w:tmpl w:val="1AFC8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79E1EF7"/>
    <w:multiLevelType w:val="hybridMultilevel"/>
    <w:tmpl w:val="8D14A66E"/>
    <w:lvl w:ilvl="0" w:tplc="B722433C">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F8E2527"/>
    <w:multiLevelType w:val="hybridMultilevel"/>
    <w:tmpl w:val="DFEAD2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61D87265"/>
    <w:multiLevelType w:val="hybridMultilevel"/>
    <w:tmpl w:val="005C08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830473"/>
    <w:multiLevelType w:val="hybridMultilevel"/>
    <w:tmpl w:val="D4E4E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C390A60"/>
    <w:multiLevelType w:val="hybridMultilevel"/>
    <w:tmpl w:val="5EEE54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CC47692"/>
    <w:multiLevelType w:val="hybridMultilevel"/>
    <w:tmpl w:val="0A301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EB97EE5"/>
    <w:multiLevelType w:val="hybridMultilevel"/>
    <w:tmpl w:val="E43C5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814B59"/>
    <w:multiLevelType w:val="hybridMultilevel"/>
    <w:tmpl w:val="9CFE6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7531B2"/>
    <w:multiLevelType w:val="hybridMultilevel"/>
    <w:tmpl w:val="FC06312C"/>
    <w:lvl w:ilvl="0" w:tplc="0816819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73E4928"/>
    <w:multiLevelType w:val="hybridMultilevel"/>
    <w:tmpl w:val="7346A3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8BD41E8"/>
    <w:multiLevelType w:val="hybridMultilevel"/>
    <w:tmpl w:val="D960C7D0"/>
    <w:lvl w:ilvl="0" w:tplc="CC1CD730">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D347954"/>
    <w:multiLevelType w:val="hybridMultilevel"/>
    <w:tmpl w:val="257A3E2A"/>
    <w:lvl w:ilvl="0" w:tplc="7660E614">
      <w:numFmt w:val="bullet"/>
      <w:lvlText w:val="-"/>
      <w:lvlJc w:val="left"/>
      <w:pPr>
        <w:ind w:left="720" w:hanging="360"/>
      </w:pPr>
      <w:rPr>
        <w:rFonts w:ascii="Century Gothic" w:eastAsia="Century Gothic" w:hAnsi="Century Gothic" w:cs="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2900707">
    <w:abstractNumId w:val="22"/>
  </w:num>
  <w:num w:numId="2" w16cid:durableId="1201170007">
    <w:abstractNumId w:val="2"/>
  </w:num>
  <w:num w:numId="3" w16cid:durableId="1862208180">
    <w:abstractNumId w:val="29"/>
  </w:num>
  <w:num w:numId="4" w16cid:durableId="1017387355">
    <w:abstractNumId w:val="35"/>
  </w:num>
  <w:num w:numId="5" w16cid:durableId="743723397">
    <w:abstractNumId w:val="14"/>
  </w:num>
  <w:num w:numId="6" w16cid:durableId="1305698465">
    <w:abstractNumId w:val="17"/>
  </w:num>
  <w:num w:numId="7" w16cid:durableId="756679426">
    <w:abstractNumId w:val="6"/>
  </w:num>
  <w:num w:numId="8" w16cid:durableId="2040542711">
    <w:abstractNumId w:val="3"/>
  </w:num>
  <w:num w:numId="9" w16cid:durableId="2094549561">
    <w:abstractNumId w:val="16"/>
  </w:num>
  <w:num w:numId="10" w16cid:durableId="1730957648">
    <w:abstractNumId w:val="8"/>
  </w:num>
  <w:num w:numId="11" w16cid:durableId="843322965">
    <w:abstractNumId w:val="30"/>
  </w:num>
  <w:num w:numId="12" w16cid:durableId="2051611134">
    <w:abstractNumId w:val="11"/>
  </w:num>
  <w:num w:numId="13" w16cid:durableId="1618874014">
    <w:abstractNumId w:val="1"/>
  </w:num>
  <w:num w:numId="14" w16cid:durableId="1407458010">
    <w:abstractNumId w:val="26"/>
  </w:num>
  <w:num w:numId="15" w16cid:durableId="1841120330">
    <w:abstractNumId w:val="5"/>
  </w:num>
  <w:num w:numId="16" w16cid:durableId="536743434">
    <w:abstractNumId w:val="25"/>
  </w:num>
  <w:num w:numId="17" w16cid:durableId="2051958488">
    <w:abstractNumId w:val="13"/>
  </w:num>
  <w:num w:numId="18" w16cid:durableId="894586735">
    <w:abstractNumId w:val="15"/>
  </w:num>
  <w:num w:numId="19" w16cid:durableId="1872760567">
    <w:abstractNumId w:val="20"/>
  </w:num>
  <w:num w:numId="20" w16cid:durableId="875889269">
    <w:abstractNumId w:val="34"/>
  </w:num>
  <w:num w:numId="21" w16cid:durableId="654261236">
    <w:abstractNumId w:val="24"/>
  </w:num>
  <w:num w:numId="22" w16cid:durableId="145829317">
    <w:abstractNumId w:val="7"/>
  </w:num>
  <w:num w:numId="23" w16cid:durableId="35351693">
    <w:abstractNumId w:val="37"/>
  </w:num>
  <w:num w:numId="24" w16cid:durableId="503084764">
    <w:abstractNumId w:val="9"/>
  </w:num>
  <w:num w:numId="25" w16cid:durableId="893737851">
    <w:abstractNumId w:val="19"/>
  </w:num>
  <w:num w:numId="26" w16cid:durableId="538207060">
    <w:abstractNumId w:val="28"/>
  </w:num>
  <w:num w:numId="27" w16cid:durableId="1319729966">
    <w:abstractNumId w:val="31"/>
  </w:num>
  <w:num w:numId="28" w16cid:durableId="729038165">
    <w:abstractNumId w:val="12"/>
  </w:num>
  <w:num w:numId="29" w16cid:durableId="1756973742">
    <w:abstractNumId w:val="10"/>
  </w:num>
  <w:num w:numId="30" w16cid:durableId="357587212">
    <w:abstractNumId w:val="33"/>
  </w:num>
  <w:num w:numId="31" w16cid:durableId="58138848">
    <w:abstractNumId w:val="27"/>
  </w:num>
  <w:num w:numId="32" w16cid:durableId="1473719213">
    <w:abstractNumId w:val="18"/>
  </w:num>
  <w:num w:numId="33" w16cid:durableId="519591254">
    <w:abstractNumId w:val="4"/>
  </w:num>
  <w:num w:numId="34" w16cid:durableId="1656296788">
    <w:abstractNumId w:val="36"/>
  </w:num>
  <w:num w:numId="35" w16cid:durableId="113208439">
    <w:abstractNumId w:val="32"/>
  </w:num>
  <w:num w:numId="36" w16cid:durableId="183521133">
    <w:abstractNumId w:val="23"/>
  </w:num>
  <w:num w:numId="37" w16cid:durableId="865219695">
    <w:abstractNumId w:val="21"/>
  </w:num>
  <w:num w:numId="38" w16cid:durableId="7740120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43"/>
    <w:rsid w:val="0000539C"/>
    <w:rsid w:val="00006FDA"/>
    <w:rsid w:val="00006FF4"/>
    <w:rsid w:val="00012918"/>
    <w:rsid w:val="000260E0"/>
    <w:rsid w:val="000271F4"/>
    <w:rsid w:val="000402EF"/>
    <w:rsid w:val="00043867"/>
    <w:rsid w:val="00055AD9"/>
    <w:rsid w:val="00060C51"/>
    <w:rsid w:val="00064553"/>
    <w:rsid w:val="000853F3"/>
    <w:rsid w:val="0008652E"/>
    <w:rsid w:val="000A39DE"/>
    <w:rsid w:val="000B1D7E"/>
    <w:rsid w:val="000B5326"/>
    <w:rsid w:val="000C07A6"/>
    <w:rsid w:val="000C1207"/>
    <w:rsid w:val="000F743E"/>
    <w:rsid w:val="000F7496"/>
    <w:rsid w:val="00110197"/>
    <w:rsid w:val="00110718"/>
    <w:rsid w:val="001403D6"/>
    <w:rsid w:val="00140AA3"/>
    <w:rsid w:val="001479FF"/>
    <w:rsid w:val="001532C6"/>
    <w:rsid w:val="00160A10"/>
    <w:rsid w:val="001660B6"/>
    <w:rsid w:val="001863FF"/>
    <w:rsid w:val="00193A82"/>
    <w:rsid w:val="001974B7"/>
    <w:rsid w:val="001A41D5"/>
    <w:rsid w:val="001B4DB2"/>
    <w:rsid w:val="001C24A2"/>
    <w:rsid w:val="001D76BA"/>
    <w:rsid w:val="001E37DC"/>
    <w:rsid w:val="001E3B85"/>
    <w:rsid w:val="001E52EF"/>
    <w:rsid w:val="001E7F8A"/>
    <w:rsid w:val="001F3924"/>
    <w:rsid w:val="001F605E"/>
    <w:rsid w:val="001F7B48"/>
    <w:rsid w:val="001F7E8B"/>
    <w:rsid w:val="002160CD"/>
    <w:rsid w:val="00223176"/>
    <w:rsid w:val="00234733"/>
    <w:rsid w:val="002646AE"/>
    <w:rsid w:val="00265AA2"/>
    <w:rsid w:val="0026755D"/>
    <w:rsid w:val="002908E7"/>
    <w:rsid w:val="00294E59"/>
    <w:rsid w:val="00295808"/>
    <w:rsid w:val="00295B9C"/>
    <w:rsid w:val="0029607A"/>
    <w:rsid w:val="002A1461"/>
    <w:rsid w:val="002A2DFE"/>
    <w:rsid w:val="002A62DB"/>
    <w:rsid w:val="002A6CCB"/>
    <w:rsid w:val="002A73B2"/>
    <w:rsid w:val="002B6AC1"/>
    <w:rsid w:val="002C62F3"/>
    <w:rsid w:val="002C6890"/>
    <w:rsid w:val="002C73EF"/>
    <w:rsid w:val="002D29F2"/>
    <w:rsid w:val="002D2C6A"/>
    <w:rsid w:val="002D2DBE"/>
    <w:rsid w:val="002E3EC4"/>
    <w:rsid w:val="002E6A20"/>
    <w:rsid w:val="002F4720"/>
    <w:rsid w:val="00301C62"/>
    <w:rsid w:val="00302983"/>
    <w:rsid w:val="003038DE"/>
    <w:rsid w:val="003134A3"/>
    <w:rsid w:val="003247C8"/>
    <w:rsid w:val="00330FE4"/>
    <w:rsid w:val="0033632E"/>
    <w:rsid w:val="003370E8"/>
    <w:rsid w:val="00384822"/>
    <w:rsid w:val="00394D2F"/>
    <w:rsid w:val="00397720"/>
    <w:rsid w:val="003A4A5C"/>
    <w:rsid w:val="003A4DE9"/>
    <w:rsid w:val="003B54E1"/>
    <w:rsid w:val="003C1602"/>
    <w:rsid w:val="003C55D3"/>
    <w:rsid w:val="003E7D4F"/>
    <w:rsid w:val="003F1CC2"/>
    <w:rsid w:val="003F2D42"/>
    <w:rsid w:val="003F4A04"/>
    <w:rsid w:val="003F525C"/>
    <w:rsid w:val="004036C3"/>
    <w:rsid w:val="00406D2D"/>
    <w:rsid w:val="00415DDA"/>
    <w:rsid w:val="00424CE5"/>
    <w:rsid w:val="004302A0"/>
    <w:rsid w:val="004348AD"/>
    <w:rsid w:val="004359F3"/>
    <w:rsid w:val="00442AC8"/>
    <w:rsid w:val="004463DB"/>
    <w:rsid w:val="004503C4"/>
    <w:rsid w:val="004869AB"/>
    <w:rsid w:val="00487B45"/>
    <w:rsid w:val="0049415E"/>
    <w:rsid w:val="004958F6"/>
    <w:rsid w:val="004B3905"/>
    <w:rsid w:val="004B7808"/>
    <w:rsid w:val="004C0E4A"/>
    <w:rsid w:val="004C6B52"/>
    <w:rsid w:val="004D058A"/>
    <w:rsid w:val="004D0A64"/>
    <w:rsid w:val="004D2D10"/>
    <w:rsid w:val="004E376A"/>
    <w:rsid w:val="004E718C"/>
    <w:rsid w:val="004F1B85"/>
    <w:rsid w:val="00504FB1"/>
    <w:rsid w:val="0051250F"/>
    <w:rsid w:val="00526FE3"/>
    <w:rsid w:val="0053218D"/>
    <w:rsid w:val="0053341E"/>
    <w:rsid w:val="0053455C"/>
    <w:rsid w:val="00535C30"/>
    <w:rsid w:val="00537F8C"/>
    <w:rsid w:val="00540427"/>
    <w:rsid w:val="00542BF7"/>
    <w:rsid w:val="00544759"/>
    <w:rsid w:val="00546B8D"/>
    <w:rsid w:val="00547BC9"/>
    <w:rsid w:val="00550AB2"/>
    <w:rsid w:val="005647D6"/>
    <w:rsid w:val="00564DC6"/>
    <w:rsid w:val="00567D43"/>
    <w:rsid w:val="005710F6"/>
    <w:rsid w:val="0057559C"/>
    <w:rsid w:val="00577896"/>
    <w:rsid w:val="00581370"/>
    <w:rsid w:val="00586EB7"/>
    <w:rsid w:val="00590D02"/>
    <w:rsid w:val="00591453"/>
    <w:rsid w:val="005920FE"/>
    <w:rsid w:val="0059329F"/>
    <w:rsid w:val="005A45F1"/>
    <w:rsid w:val="005B4F04"/>
    <w:rsid w:val="005B6B8C"/>
    <w:rsid w:val="005B74EC"/>
    <w:rsid w:val="005C0FC0"/>
    <w:rsid w:val="005D0B1B"/>
    <w:rsid w:val="005D616B"/>
    <w:rsid w:val="005E7808"/>
    <w:rsid w:val="0060304F"/>
    <w:rsid w:val="0061323B"/>
    <w:rsid w:val="006132E5"/>
    <w:rsid w:val="00632FE8"/>
    <w:rsid w:val="00635496"/>
    <w:rsid w:val="00640633"/>
    <w:rsid w:val="00653D03"/>
    <w:rsid w:val="00666F66"/>
    <w:rsid w:val="00672ADE"/>
    <w:rsid w:val="0068306D"/>
    <w:rsid w:val="00684BD5"/>
    <w:rsid w:val="00695203"/>
    <w:rsid w:val="00696011"/>
    <w:rsid w:val="006C648E"/>
    <w:rsid w:val="006E2AA9"/>
    <w:rsid w:val="006E6470"/>
    <w:rsid w:val="006F4A52"/>
    <w:rsid w:val="006F5E7C"/>
    <w:rsid w:val="006F6505"/>
    <w:rsid w:val="0070316A"/>
    <w:rsid w:val="007035DE"/>
    <w:rsid w:val="00710B15"/>
    <w:rsid w:val="00711132"/>
    <w:rsid w:val="00712685"/>
    <w:rsid w:val="00714138"/>
    <w:rsid w:val="00722030"/>
    <w:rsid w:val="0072472C"/>
    <w:rsid w:val="00726B6A"/>
    <w:rsid w:val="00743F8B"/>
    <w:rsid w:val="007469FB"/>
    <w:rsid w:val="00747141"/>
    <w:rsid w:val="00747A4D"/>
    <w:rsid w:val="00752867"/>
    <w:rsid w:val="00754BB0"/>
    <w:rsid w:val="00760957"/>
    <w:rsid w:val="00761AA8"/>
    <w:rsid w:val="00763262"/>
    <w:rsid w:val="00764E7A"/>
    <w:rsid w:val="00776E4D"/>
    <w:rsid w:val="00786664"/>
    <w:rsid w:val="00795B5B"/>
    <w:rsid w:val="007A0C50"/>
    <w:rsid w:val="007A15B6"/>
    <w:rsid w:val="007A4FDF"/>
    <w:rsid w:val="007B372D"/>
    <w:rsid w:val="007B6A3A"/>
    <w:rsid w:val="007C181B"/>
    <w:rsid w:val="007C4388"/>
    <w:rsid w:val="007D41D9"/>
    <w:rsid w:val="007E7562"/>
    <w:rsid w:val="007F433A"/>
    <w:rsid w:val="007F589E"/>
    <w:rsid w:val="0080082D"/>
    <w:rsid w:val="008070D5"/>
    <w:rsid w:val="00817634"/>
    <w:rsid w:val="00824312"/>
    <w:rsid w:val="0083718E"/>
    <w:rsid w:val="00846DB8"/>
    <w:rsid w:val="00850387"/>
    <w:rsid w:val="00866567"/>
    <w:rsid w:val="00866F5D"/>
    <w:rsid w:val="008935BD"/>
    <w:rsid w:val="008A54E4"/>
    <w:rsid w:val="008B384A"/>
    <w:rsid w:val="008B6BA9"/>
    <w:rsid w:val="008C0ACE"/>
    <w:rsid w:val="00910BCC"/>
    <w:rsid w:val="00921108"/>
    <w:rsid w:val="00923754"/>
    <w:rsid w:val="00926B1E"/>
    <w:rsid w:val="00930F2F"/>
    <w:rsid w:val="009368A3"/>
    <w:rsid w:val="00941C6A"/>
    <w:rsid w:val="00945642"/>
    <w:rsid w:val="00961D3A"/>
    <w:rsid w:val="00962C21"/>
    <w:rsid w:val="00963B0C"/>
    <w:rsid w:val="00967C4B"/>
    <w:rsid w:val="009720EC"/>
    <w:rsid w:val="00974225"/>
    <w:rsid w:val="00984125"/>
    <w:rsid w:val="0098707F"/>
    <w:rsid w:val="009922DC"/>
    <w:rsid w:val="00993334"/>
    <w:rsid w:val="00993A44"/>
    <w:rsid w:val="00994E44"/>
    <w:rsid w:val="009A2E3F"/>
    <w:rsid w:val="009B08C1"/>
    <w:rsid w:val="009C4D50"/>
    <w:rsid w:val="009E408C"/>
    <w:rsid w:val="009E65F9"/>
    <w:rsid w:val="009E6650"/>
    <w:rsid w:val="00A160EA"/>
    <w:rsid w:val="00A4027F"/>
    <w:rsid w:val="00A5677A"/>
    <w:rsid w:val="00A66270"/>
    <w:rsid w:val="00A815A8"/>
    <w:rsid w:val="00A9542F"/>
    <w:rsid w:val="00A95EDF"/>
    <w:rsid w:val="00AA528F"/>
    <w:rsid w:val="00AB4EDD"/>
    <w:rsid w:val="00AB6686"/>
    <w:rsid w:val="00AD07AC"/>
    <w:rsid w:val="00AD0D3D"/>
    <w:rsid w:val="00AD2351"/>
    <w:rsid w:val="00AD5B6E"/>
    <w:rsid w:val="00AD73D2"/>
    <w:rsid w:val="00AE0C97"/>
    <w:rsid w:val="00AE67FC"/>
    <w:rsid w:val="00B03856"/>
    <w:rsid w:val="00B064BE"/>
    <w:rsid w:val="00B1607A"/>
    <w:rsid w:val="00B26B9A"/>
    <w:rsid w:val="00B31B60"/>
    <w:rsid w:val="00B5210E"/>
    <w:rsid w:val="00B55897"/>
    <w:rsid w:val="00B61BA3"/>
    <w:rsid w:val="00B62943"/>
    <w:rsid w:val="00B70056"/>
    <w:rsid w:val="00B72415"/>
    <w:rsid w:val="00B74206"/>
    <w:rsid w:val="00B80603"/>
    <w:rsid w:val="00BA29EB"/>
    <w:rsid w:val="00BB195F"/>
    <w:rsid w:val="00BB4981"/>
    <w:rsid w:val="00BD7246"/>
    <w:rsid w:val="00BD7A89"/>
    <w:rsid w:val="00BE5F6F"/>
    <w:rsid w:val="00BE7A09"/>
    <w:rsid w:val="00BF4F73"/>
    <w:rsid w:val="00C02948"/>
    <w:rsid w:val="00C131E7"/>
    <w:rsid w:val="00C16EAF"/>
    <w:rsid w:val="00C178DA"/>
    <w:rsid w:val="00C17DF2"/>
    <w:rsid w:val="00C22E8E"/>
    <w:rsid w:val="00C23C0E"/>
    <w:rsid w:val="00C24770"/>
    <w:rsid w:val="00C259A3"/>
    <w:rsid w:val="00C27211"/>
    <w:rsid w:val="00C569D4"/>
    <w:rsid w:val="00C64D13"/>
    <w:rsid w:val="00C81AE0"/>
    <w:rsid w:val="00C84397"/>
    <w:rsid w:val="00CA0696"/>
    <w:rsid w:val="00CA3AA5"/>
    <w:rsid w:val="00CC1493"/>
    <w:rsid w:val="00CC460D"/>
    <w:rsid w:val="00CC5E2E"/>
    <w:rsid w:val="00CC71E5"/>
    <w:rsid w:val="00CD0A84"/>
    <w:rsid w:val="00CD114B"/>
    <w:rsid w:val="00CD4807"/>
    <w:rsid w:val="00CE37B8"/>
    <w:rsid w:val="00CF7799"/>
    <w:rsid w:val="00CF7C5F"/>
    <w:rsid w:val="00D15796"/>
    <w:rsid w:val="00D21BF8"/>
    <w:rsid w:val="00D23EFB"/>
    <w:rsid w:val="00D56531"/>
    <w:rsid w:val="00D57A85"/>
    <w:rsid w:val="00D63AB6"/>
    <w:rsid w:val="00D66C88"/>
    <w:rsid w:val="00DA06CF"/>
    <w:rsid w:val="00DA2733"/>
    <w:rsid w:val="00DA48B1"/>
    <w:rsid w:val="00DB0F6A"/>
    <w:rsid w:val="00DB56D1"/>
    <w:rsid w:val="00DC72EA"/>
    <w:rsid w:val="00DD451C"/>
    <w:rsid w:val="00DD6103"/>
    <w:rsid w:val="00DE1EEA"/>
    <w:rsid w:val="00DE2F50"/>
    <w:rsid w:val="00DF2530"/>
    <w:rsid w:val="00DF46DA"/>
    <w:rsid w:val="00DF5543"/>
    <w:rsid w:val="00DF604B"/>
    <w:rsid w:val="00DF728F"/>
    <w:rsid w:val="00DF7E60"/>
    <w:rsid w:val="00E0011F"/>
    <w:rsid w:val="00E055D3"/>
    <w:rsid w:val="00E10940"/>
    <w:rsid w:val="00E10B97"/>
    <w:rsid w:val="00E14F5E"/>
    <w:rsid w:val="00E2456D"/>
    <w:rsid w:val="00E266B3"/>
    <w:rsid w:val="00E35C5F"/>
    <w:rsid w:val="00E42AB3"/>
    <w:rsid w:val="00E66269"/>
    <w:rsid w:val="00E66B6C"/>
    <w:rsid w:val="00E71104"/>
    <w:rsid w:val="00E80D5A"/>
    <w:rsid w:val="00E8459C"/>
    <w:rsid w:val="00E85FB5"/>
    <w:rsid w:val="00E871CC"/>
    <w:rsid w:val="00E95062"/>
    <w:rsid w:val="00E97643"/>
    <w:rsid w:val="00EB7E1B"/>
    <w:rsid w:val="00EC0AAB"/>
    <w:rsid w:val="00EC7343"/>
    <w:rsid w:val="00EC77D6"/>
    <w:rsid w:val="00EE101E"/>
    <w:rsid w:val="00EE3A4A"/>
    <w:rsid w:val="00EE4DA7"/>
    <w:rsid w:val="00EE7956"/>
    <w:rsid w:val="00EE7E7E"/>
    <w:rsid w:val="00EF4B9F"/>
    <w:rsid w:val="00EF5604"/>
    <w:rsid w:val="00F0102D"/>
    <w:rsid w:val="00F01E8A"/>
    <w:rsid w:val="00F055FF"/>
    <w:rsid w:val="00F11407"/>
    <w:rsid w:val="00F24CF6"/>
    <w:rsid w:val="00F2678C"/>
    <w:rsid w:val="00F55242"/>
    <w:rsid w:val="00F6755F"/>
    <w:rsid w:val="00F728B8"/>
    <w:rsid w:val="00F75CB8"/>
    <w:rsid w:val="00F82CE3"/>
    <w:rsid w:val="00F859F8"/>
    <w:rsid w:val="00F8784A"/>
    <w:rsid w:val="00F91E26"/>
    <w:rsid w:val="00F92AA9"/>
    <w:rsid w:val="00FA43D5"/>
    <w:rsid w:val="00FA4666"/>
    <w:rsid w:val="00FB452F"/>
    <w:rsid w:val="00FC7B45"/>
    <w:rsid w:val="00FD4287"/>
    <w:rsid w:val="00FE0B64"/>
    <w:rsid w:val="00FE1B0D"/>
    <w:rsid w:val="00FE3ECB"/>
    <w:rsid w:val="00FF475B"/>
    <w:rsid w:val="00FF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E0E9"/>
  <w15:docId w15:val="{700CFC64-0F5F-4E05-B69A-A0D7412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2866">
      <w:bodyDiv w:val="1"/>
      <w:marLeft w:val="0"/>
      <w:marRight w:val="0"/>
      <w:marTop w:val="0"/>
      <w:marBottom w:val="0"/>
      <w:divBdr>
        <w:top w:val="none" w:sz="0" w:space="0" w:color="auto"/>
        <w:left w:val="none" w:sz="0" w:space="0" w:color="auto"/>
        <w:bottom w:val="none" w:sz="0" w:space="0" w:color="auto"/>
        <w:right w:val="none" w:sz="0" w:space="0" w:color="auto"/>
      </w:divBdr>
    </w:div>
    <w:div w:id="102389420">
      <w:bodyDiv w:val="1"/>
      <w:marLeft w:val="0"/>
      <w:marRight w:val="0"/>
      <w:marTop w:val="0"/>
      <w:marBottom w:val="0"/>
      <w:divBdr>
        <w:top w:val="none" w:sz="0" w:space="0" w:color="auto"/>
        <w:left w:val="none" w:sz="0" w:space="0" w:color="auto"/>
        <w:bottom w:val="none" w:sz="0" w:space="0" w:color="auto"/>
        <w:right w:val="none" w:sz="0" w:space="0" w:color="auto"/>
      </w:divBdr>
    </w:div>
    <w:div w:id="338699662">
      <w:bodyDiv w:val="1"/>
      <w:marLeft w:val="0"/>
      <w:marRight w:val="0"/>
      <w:marTop w:val="0"/>
      <w:marBottom w:val="0"/>
      <w:divBdr>
        <w:top w:val="none" w:sz="0" w:space="0" w:color="auto"/>
        <w:left w:val="none" w:sz="0" w:space="0" w:color="auto"/>
        <w:bottom w:val="none" w:sz="0" w:space="0" w:color="auto"/>
        <w:right w:val="none" w:sz="0" w:space="0" w:color="auto"/>
      </w:divBdr>
    </w:div>
    <w:div w:id="361135255">
      <w:bodyDiv w:val="1"/>
      <w:marLeft w:val="0"/>
      <w:marRight w:val="0"/>
      <w:marTop w:val="0"/>
      <w:marBottom w:val="0"/>
      <w:divBdr>
        <w:top w:val="none" w:sz="0" w:space="0" w:color="auto"/>
        <w:left w:val="none" w:sz="0" w:space="0" w:color="auto"/>
        <w:bottom w:val="none" w:sz="0" w:space="0" w:color="auto"/>
        <w:right w:val="none" w:sz="0" w:space="0" w:color="auto"/>
      </w:divBdr>
    </w:div>
    <w:div w:id="447940073">
      <w:bodyDiv w:val="1"/>
      <w:marLeft w:val="0"/>
      <w:marRight w:val="0"/>
      <w:marTop w:val="0"/>
      <w:marBottom w:val="0"/>
      <w:divBdr>
        <w:top w:val="none" w:sz="0" w:space="0" w:color="auto"/>
        <w:left w:val="none" w:sz="0" w:space="0" w:color="auto"/>
        <w:bottom w:val="none" w:sz="0" w:space="0" w:color="auto"/>
        <w:right w:val="none" w:sz="0" w:space="0" w:color="auto"/>
      </w:divBdr>
      <w:divsChild>
        <w:div w:id="1475221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4210">
              <w:marLeft w:val="0"/>
              <w:marRight w:val="0"/>
              <w:marTop w:val="0"/>
              <w:marBottom w:val="0"/>
              <w:divBdr>
                <w:top w:val="none" w:sz="0" w:space="0" w:color="auto"/>
                <w:left w:val="none" w:sz="0" w:space="0" w:color="auto"/>
                <w:bottom w:val="none" w:sz="0" w:space="0" w:color="auto"/>
                <w:right w:val="none" w:sz="0" w:space="0" w:color="auto"/>
              </w:divBdr>
              <w:divsChild>
                <w:div w:id="903636657">
                  <w:marLeft w:val="0"/>
                  <w:marRight w:val="0"/>
                  <w:marTop w:val="0"/>
                  <w:marBottom w:val="0"/>
                  <w:divBdr>
                    <w:top w:val="none" w:sz="0" w:space="0" w:color="auto"/>
                    <w:left w:val="none" w:sz="0" w:space="0" w:color="auto"/>
                    <w:bottom w:val="none" w:sz="0" w:space="0" w:color="auto"/>
                    <w:right w:val="none" w:sz="0" w:space="0" w:color="auto"/>
                  </w:divBdr>
                  <w:divsChild>
                    <w:div w:id="1180655884">
                      <w:marLeft w:val="0"/>
                      <w:marRight w:val="0"/>
                      <w:marTop w:val="0"/>
                      <w:marBottom w:val="0"/>
                      <w:divBdr>
                        <w:top w:val="none" w:sz="0" w:space="0" w:color="auto"/>
                        <w:left w:val="none" w:sz="0" w:space="0" w:color="auto"/>
                        <w:bottom w:val="none" w:sz="0" w:space="0" w:color="auto"/>
                        <w:right w:val="none" w:sz="0" w:space="0" w:color="auto"/>
                      </w:divBdr>
                      <w:divsChild>
                        <w:div w:id="57940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9290201">
      <w:bodyDiv w:val="1"/>
      <w:marLeft w:val="0"/>
      <w:marRight w:val="0"/>
      <w:marTop w:val="0"/>
      <w:marBottom w:val="0"/>
      <w:divBdr>
        <w:top w:val="none" w:sz="0" w:space="0" w:color="auto"/>
        <w:left w:val="none" w:sz="0" w:space="0" w:color="auto"/>
        <w:bottom w:val="none" w:sz="0" w:space="0" w:color="auto"/>
        <w:right w:val="none" w:sz="0" w:space="0" w:color="auto"/>
      </w:divBdr>
    </w:div>
    <w:div w:id="627517344">
      <w:bodyDiv w:val="1"/>
      <w:marLeft w:val="0"/>
      <w:marRight w:val="0"/>
      <w:marTop w:val="0"/>
      <w:marBottom w:val="0"/>
      <w:divBdr>
        <w:top w:val="none" w:sz="0" w:space="0" w:color="auto"/>
        <w:left w:val="none" w:sz="0" w:space="0" w:color="auto"/>
        <w:bottom w:val="none" w:sz="0" w:space="0" w:color="auto"/>
        <w:right w:val="none" w:sz="0" w:space="0" w:color="auto"/>
      </w:divBdr>
    </w:div>
    <w:div w:id="751120564">
      <w:bodyDiv w:val="1"/>
      <w:marLeft w:val="0"/>
      <w:marRight w:val="0"/>
      <w:marTop w:val="0"/>
      <w:marBottom w:val="0"/>
      <w:divBdr>
        <w:top w:val="none" w:sz="0" w:space="0" w:color="auto"/>
        <w:left w:val="none" w:sz="0" w:space="0" w:color="auto"/>
        <w:bottom w:val="none" w:sz="0" w:space="0" w:color="auto"/>
        <w:right w:val="none" w:sz="0" w:space="0" w:color="auto"/>
      </w:divBdr>
      <w:divsChild>
        <w:div w:id="174392326">
          <w:marLeft w:val="0"/>
          <w:marRight w:val="0"/>
          <w:marTop w:val="0"/>
          <w:marBottom w:val="150"/>
          <w:divBdr>
            <w:top w:val="none" w:sz="0" w:space="0" w:color="auto"/>
            <w:left w:val="none" w:sz="0" w:space="0" w:color="auto"/>
            <w:bottom w:val="none" w:sz="0" w:space="0" w:color="auto"/>
            <w:right w:val="none" w:sz="0" w:space="0" w:color="auto"/>
          </w:divBdr>
        </w:div>
      </w:divsChild>
    </w:div>
    <w:div w:id="981732920">
      <w:bodyDiv w:val="1"/>
      <w:marLeft w:val="0"/>
      <w:marRight w:val="0"/>
      <w:marTop w:val="0"/>
      <w:marBottom w:val="0"/>
      <w:divBdr>
        <w:top w:val="none" w:sz="0" w:space="0" w:color="auto"/>
        <w:left w:val="none" w:sz="0" w:space="0" w:color="auto"/>
        <w:bottom w:val="none" w:sz="0" w:space="0" w:color="auto"/>
        <w:right w:val="none" w:sz="0" w:space="0" w:color="auto"/>
      </w:divBdr>
    </w:div>
    <w:div w:id="1191336278">
      <w:bodyDiv w:val="1"/>
      <w:marLeft w:val="0"/>
      <w:marRight w:val="0"/>
      <w:marTop w:val="0"/>
      <w:marBottom w:val="0"/>
      <w:divBdr>
        <w:top w:val="none" w:sz="0" w:space="0" w:color="auto"/>
        <w:left w:val="none" w:sz="0" w:space="0" w:color="auto"/>
        <w:bottom w:val="none" w:sz="0" w:space="0" w:color="auto"/>
        <w:right w:val="none" w:sz="0" w:space="0" w:color="auto"/>
      </w:divBdr>
    </w:div>
    <w:div w:id="1199657113">
      <w:bodyDiv w:val="1"/>
      <w:marLeft w:val="0"/>
      <w:marRight w:val="0"/>
      <w:marTop w:val="0"/>
      <w:marBottom w:val="0"/>
      <w:divBdr>
        <w:top w:val="none" w:sz="0" w:space="0" w:color="auto"/>
        <w:left w:val="none" w:sz="0" w:space="0" w:color="auto"/>
        <w:bottom w:val="none" w:sz="0" w:space="0" w:color="auto"/>
        <w:right w:val="none" w:sz="0" w:space="0" w:color="auto"/>
      </w:divBdr>
    </w:div>
    <w:div w:id="1224023957">
      <w:bodyDiv w:val="1"/>
      <w:marLeft w:val="0"/>
      <w:marRight w:val="0"/>
      <w:marTop w:val="0"/>
      <w:marBottom w:val="0"/>
      <w:divBdr>
        <w:top w:val="none" w:sz="0" w:space="0" w:color="auto"/>
        <w:left w:val="none" w:sz="0" w:space="0" w:color="auto"/>
        <w:bottom w:val="none" w:sz="0" w:space="0" w:color="auto"/>
        <w:right w:val="none" w:sz="0" w:space="0" w:color="auto"/>
      </w:divBdr>
    </w:div>
    <w:div w:id="1641500330">
      <w:bodyDiv w:val="1"/>
      <w:marLeft w:val="0"/>
      <w:marRight w:val="0"/>
      <w:marTop w:val="0"/>
      <w:marBottom w:val="0"/>
      <w:divBdr>
        <w:top w:val="none" w:sz="0" w:space="0" w:color="auto"/>
        <w:left w:val="none" w:sz="0" w:space="0" w:color="auto"/>
        <w:bottom w:val="none" w:sz="0" w:space="0" w:color="auto"/>
        <w:right w:val="none" w:sz="0" w:space="0" w:color="auto"/>
      </w:divBdr>
    </w:div>
    <w:div w:id="1709724284">
      <w:bodyDiv w:val="1"/>
      <w:marLeft w:val="0"/>
      <w:marRight w:val="0"/>
      <w:marTop w:val="0"/>
      <w:marBottom w:val="0"/>
      <w:divBdr>
        <w:top w:val="none" w:sz="0" w:space="0" w:color="auto"/>
        <w:left w:val="none" w:sz="0" w:space="0" w:color="auto"/>
        <w:bottom w:val="none" w:sz="0" w:space="0" w:color="auto"/>
        <w:right w:val="none" w:sz="0" w:space="0" w:color="auto"/>
      </w:divBdr>
    </w:div>
    <w:div w:id="1841695945">
      <w:bodyDiv w:val="1"/>
      <w:marLeft w:val="0"/>
      <w:marRight w:val="0"/>
      <w:marTop w:val="0"/>
      <w:marBottom w:val="0"/>
      <w:divBdr>
        <w:top w:val="none" w:sz="0" w:space="0" w:color="auto"/>
        <w:left w:val="none" w:sz="0" w:space="0" w:color="auto"/>
        <w:bottom w:val="none" w:sz="0" w:space="0" w:color="auto"/>
        <w:right w:val="none" w:sz="0" w:space="0" w:color="auto"/>
      </w:divBdr>
    </w:div>
    <w:div w:id="1998337057">
      <w:bodyDiv w:val="1"/>
      <w:marLeft w:val="0"/>
      <w:marRight w:val="0"/>
      <w:marTop w:val="0"/>
      <w:marBottom w:val="0"/>
      <w:divBdr>
        <w:top w:val="none" w:sz="0" w:space="0" w:color="auto"/>
        <w:left w:val="none" w:sz="0" w:space="0" w:color="auto"/>
        <w:bottom w:val="none" w:sz="0" w:space="0" w:color="auto"/>
        <w:right w:val="none" w:sz="0" w:space="0" w:color="auto"/>
      </w:divBdr>
    </w:div>
    <w:div w:id="2049526179">
      <w:bodyDiv w:val="1"/>
      <w:marLeft w:val="0"/>
      <w:marRight w:val="0"/>
      <w:marTop w:val="0"/>
      <w:marBottom w:val="0"/>
      <w:divBdr>
        <w:top w:val="none" w:sz="0" w:space="0" w:color="auto"/>
        <w:left w:val="none" w:sz="0" w:space="0" w:color="auto"/>
        <w:bottom w:val="none" w:sz="0" w:space="0" w:color="auto"/>
        <w:right w:val="none" w:sz="0" w:space="0" w:color="auto"/>
      </w:divBdr>
    </w:div>
    <w:div w:id="2118215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_sJwwTe2e8&amp;feature=youtu.be"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dc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1085</Words>
  <Characters>5558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Marcel Solana</cp:lastModifiedBy>
  <cp:revision>4</cp:revision>
  <dcterms:created xsi:type="dcterms:W3CDTF">2023-10-04T11:14:00Z</dcterms:created>
  <dcterms:modified xsi:type="dcterms:W3CDTF">2023-10-04T11:24:00Z</dcterms:modified>
  <cp:category/>
</cp:coreProperties>
</file>