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53BF4" w14:textId="77777777" w:rsidR="00D410A0" w:rsidRDefault="00000000">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Contacto:</w:t>
      </w:r>
    </w:p>
    <w:p w14:paraId="60C9E82A" w14:textId="77777777" w:rsidR="00D410A0" w:rsidRDefault="00000000">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EMIRATES </w:t>
      </w:r>
    </w:p>
    <w:p w14:paraId="3CDC7C02" w14:textId="77777777" w:rsidR="00D410A0" w:rsidRDefault="00000000">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proofErr w:type="spellStart"/>
      <w:r>
        <w:rPr>
          <w:rFonts w:ascii="Century Gothic" w:eastAsia="Century Gothic" w:hAnsi="Century Gothic" w:cs="Century Gothic"/>
          <w:color w:val="000000"/>
          <w:sz w:val="18"/>
          <w:szCs w:val="18"/>
        </w:rPr>
        <w:t>Sergat</w:t>
      </w:r>
      <w:proofErr w:type="spellEnd"/>
      <w:r>
        <w:rPr>
          <w:rFonts w:ascii="Century Gothic" w:eastAsia="Century Gothic" w:hAnsi="Century Gothic" w:cs="Century Gothic"/>
          <w:color w:val="000000"/>
          <w:sz w:val="18"/>
          <w:szCs w:val="18"/>
        </w:rPr>
        <w:t xml:space="preserve"> </w:t>
      </w:r>
    </w:p>
    <w:p w14:paraId="718E3004" w14:textId="77777777" w:rsidR="00D410A0" w:rsidRDefault="00000000">
      <w:pPr>
        <w:pBdr>
          <w:top w:val="nil"/>
          <w:left w:val="nil"/>
          <w:bottom w:val="nil"/>
          <w:right w:val="nil"/>
          <w:between w:val="nil"/>
        </w:pBdr>
        <w:spacing w:line="360" w:lineRule="auto"/>
        <w:jc w:val="both"/>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 93 414 02 10</w:t>
      </w:r>
    </w:p>
    <w:p w14:paraId="76D4FABE" w14:textId="77777777" w:rsidR="00D410A0" w:rsidRDefault="00000000">
      <w:pPr>
        <w:pBdr>
          <w:top w:val="nil"/>
          <w:left w:val="nil"/>
          <w:bottom w:val="nil"/>
          <w:right w:val="nil"/>
          <w:between w:val="nil"/>
        </w:pBdr>
        <w:spacing w:line="360" w:lineRule="auto"/>
        <w:jc w:val="both"/>
        <w:rPr>
          <w:rFonts w:ascii="Cambria" w:eastAsia="Cambria" w:hAnsi="Cambria" w:cs="Cambria"/>
          <w:color w:val="000000"/>
        </w:rPr>
      </w:pPr>
      <w:r>
        <w:rPr>
          <w:rFonts w:ascii="Century Gothic" w:eastAsia="Century Gothic" w:hAnsi="Century Gothic" w:cs="Century Gothic"/>
          <w:color w:val="000000"/>
          <w:sz w:val="18"/>
          <w:szCs w:val="18"/>
        </w:rPr>
        <w:t xml:space="preserve">E-mail: </w:t>
      </w:r>
      <w:hyperlink r:id="rId7">
        <w:r>
          <w:rPr>
            <w:rFonts w:ascii="Century Gothic" w:eastAsia="Century Gothic" w:hAnsi="Century Gothic" w:cs="Century Gothic"/>
            <w:color w:val="006699"/>
            <w:sz w:val="18"/>
            <w:szCs w:val="18"/>
          </w:rPr>
          <w:t>prensa@sergat.com</w:t>
        </w:r>
      </w:hyperlink>
      <w:r>
        <w:rPr>
          <w:rFonts w:ascii="Century Gothic" w:eastAsia="Century Gothic" w:hAnsi="Century Gothic" w:cs="Century Gothic"/>
          <w:sz w:val="18"/>
          <w:szCs w:val="18"/>
        </w:rPr>
        <w:t xml:space="preserve"> </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FF"/>
          <w:sz w:val="18"/>
          <w:szCs w:val="18"/>
        </w:rPr>
        <w:t xml:space="preserve"> </w:t>
      </w:r>
    </w:p>
    <w:tbl>
      <w:tblPr>
        <w:tblStyle w:val="a0"/>
        <w:tblW w:w="5775" w:type="dxa"/>
        <w:jc w:val="center"/>
        <w:tblInd w:w="0" w:type="dxa"/>
        <w:tblLayout w:type="fixed"/>
        <w:tblLook w:val="0400" w:firstRow="0" w:lastRow="0" w:firstColumn="0" w:lastColumn="0" w:noHBand="0" w:noVBand="1"/>
      </w:tblPr>
      <w:tblGrid>
        <w:gridCol w:w="5775"/>
      </w:tblGrid>
      <w:tr w:rsidR="00D410A0" w14:paraId="2ED5D99D" w14:textId="77777777">
        <w:trPr>
          <w:jc w:val="center"/>
        </w:trPr>
        <w:tc>
          <w:tcPr>
            <w:tcW w:w="5775" w:type="dxa"/>
            <w:vAlign w:val="center"/>
          </w:tcPr>
          <w:p w14:paraId="63A43D70" w14:textId="77777777" w:rsidR="00D410A0" w:rsidRDefault="00D410A0">
            <w:pPr>
              <w:jc w:val="center"/>
              <w:rPr>
                <w:sz w:val="20"/>
                <w:szCs w:val="20"/>
              </w:rPr>
            </w:pPr>
          </w:p>
        </w:tc>
      </w:tr>
    </w:tbl>
    <w:p w14:paraId="5D0A3366" w14:textId="77777777" w:rsidR="00D410A0" w:rsidRDefault="00000000">
      <w:pPr>
        <w:pBdr>
          <w:top w:val="nil"/>
          <w:left w:val="nil"/>
          <w:bottom w:val="nil"/>
          <w:right w:val="nil"/>
          <w:between w:val="nil"/>
        </w:pBdr>
        <w:spacing w:before="280" w:line="360" w:lineRule="auto"/>
        <w:jc w:val="center"/>
        <w:rPr>
          <w:rFonts w:ascii="Century Gothic" w:eastAsia="Century Gothic" w:hAnsi="Century Gothic" w:cs="Century Gothic"/>
          <w:b/>
        </w:rPr>
      </w:pPr>
      <w:proofErr w:type="spellStart"/>
      <w:r>
        <w:rPr>
          <w:rFonts w:ascii="Century Gothic" w:eastAsia="Century Gothic" w:hAnsi="Century Gothic" w:cs="Century Gothic"/>
          <w:b/>
        </w:rPr>
        <w:t>Emirates</w:t>
      </w:r>
      <w:proofErr w:type="spellEnd"/>
      <w:r>
        <w:rPr>
          <w:rFonts w:ascii="Century Gothic" w:eastAsia="Century Gothic" w:hAnsi="Century Gothic" w:cs="Century Gothic"/>
          <w:b/>
        </w:rPr>
        <w:t xml:space="preserve"> construirá nuevas instalaciones de ingeniería por valor de 950 millones de dólares</w:t>
      </w:r>
    </w:p>
    <w:p w14:paraId="6B62C850" w14:textId="77777777" w:rsidR="00D410A0" w:rsidRDefault="00000000">
      <w:pPr>
        <w:pBdr>
          <w:top w:val="nil"/>
          <w:left w:val="nil"/>
          <w:bottom w:val="nil"/>
          <w:right w:val="nil"/>
          <w:between w:val="nil"/>
        </w:pBdr>
        <w:spacing w:before="280" w:line="360" w:lineRule="auto"/>
        <w:ind w:left="720"/>
        <w:jc w:val="center"/>
        <w:rPr>
          <w:rFonts w:ascii="Century Gothic" w:eastAsia="Century Gothic" w:hAnsi="Century Gothic" w:cs="Century Gothic"/>
          <w:i/>
          <w:color w:val="000000"/>
          <w:sz w:val="22"/>
          <w:szCs w:val="22"/>
        </w:rPr>
      </w:pPr>
      <w:r>
        <w:rPr>
          <w:rFonts w:ascii="Century Gothic" w:eastAsia="Century Gothic" w:hAnsi="Century Gothic" w:cs="Century Gothic"/>
          <w:i/>
          <w:color w:val="000000"/>
          <w:sz w:val="22"/>
          <w:szCs w:val="22"/>
        </w:rPr>
        <w:t xml:space="preserve">La nueva instalación en el </w:t>
      </w:r>
      <w:r>
        <w:rPr>
          <w:rFonts w:ascii="Century Gothic" w:eastAsia="Century Gothic" w:hAnsi="Century Gothic" w:cs="Century Gothic"/>
          <w:i/>
          <w:sz w:val="22"/>
          <w:szCs w:val="22"/>
        </w:rPr>
        <w:t>‘</w:t>
      </w:r>
      <w:proofErr w:type="spellStart"/>
      <w:r>
        <w:rPr>
          <w:rFonts w:ascii="Century Gothic" w:eastAsia="Century Gothic" w:hAnsi="Century Gothic" w:cs="Century Gothic"/>
          <w:i/>
          <w:color w:val="000000"/>
          <w:sz w:val="22"/>
          <w:szCs w:val="22"/>
        </w:rPr>
        <w:t>Dubai</w:t>
      </w:r>
      <w:proofErr w:type="spellEnd"/>
      <w:r>
        <w:rPr>
          <w:rFonts w:ascii="Century Gothic" w:eastAsia="Century Gothic" w:hAnsi="Century Gothic" w:cs="Century Gothic"/>
          <w:i/>
          <w:color w:val="000000"/>
          <w:sz w:val="22"/>
          <w:szCs w:val="22"/>
        </w:rPr>
        <w:t xml:space="preserve"> </w:t>
      </w:r>
      <w:proofErr w:type="spellStart"/>
      <w:r>
        <w:rPr>
          <w:rFonts w:ascii="Century Gothic" w:eastAsia="Century Gothic" w:hAnsi="Century Gothic" w:cs="Century Gothic"/>
          <w:i/>
          <w:color w:val="000000"/>
          <w:sz w:val="22"/>
          <w:szCs w:val="22"/>
        </w:rPr>
        <w:t>World</w:t>
      </w:r>
      <w:proofErr w:type="spellEnd"/>
      <w:r>
        <w:rPr>
          <w:rFonts w:ascii="Century Gothic" w:eastAsia="Century Gothic" w:hAnsi="Century Gothic" w:cs="Century Gothic"/>
          <w:i/>
          <w:color w:val="000000"/>
          <w:sz w:val="22"/>
          <w:szCs w:val="22"/>
        </w:rPr>
        <w:t xml:space="preserve"> Central</w:t>
      </w:r>
      <w:r>
        <w:rPr>
          <w:rFonts w:ascii="Century Gothic" w:eastAsia="Century Gothic" w:hAnsi="Century Gothic" w:cs="Century Gothic"/>
          <w:i/>
          <w:sz w:val="22"/>
          <w:szCs w:val="22"/>
        </w:rPr>
        <w:t>’</w:t>
      </w:r>
      <w:r>
        <w:rPr>
          <w:rFonts w:ascii="Century Gothic" w:eastAsia="Century Gothic" w:hAnsi="Century Gothic" w:cs="Century Gothic"/>
          <w:i/>
          <w:color w:val="000000"/>
          <w:sz w:val="22"/>
          <w:szCs w:val="22"/>
        </w:rPr>
        <w:t xml:space="preserve"> (DWC) será la mayor y más avanzada de la aviación comercial, impulsando la infraestructura aeronáutica de Dubái</w:t>
      </w:r>
    </w:p>
    <w:p w14:paraId="47AB935B" w14:textId="6D352F99"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Dubái, 14 de noviembre de 2023:</w:t>
      </w:r>
      <w:r>
        <w:t xml:space="preserve"> </w:t>
      </w:r>
      <w:proofErr w:type="spellStart"/>
      <w:r>
        <w:rPr>
          <w:rFonts w:ascii="Century Gothic" w:eastAsia="Century Gothic" w:hAnsi="Century Gothic" w:cs="Century Gothic"/>
          <w:sz w:val="22"/>
          <w:szCs w:val="22"/>
        </w:rPr>
        <w:t>Emirates</w:t>
      </w:r>
      <w:proofErr w:type="spellEnd"/>
      <w:r>
        <w:rPr>
          <w:rFonts w:ascii="Century Gothic" w:eastAsia="Century Gothic" w:hAnsi="Century Gothic" w:cs="Century Gothic"/>
          <w:sz w:val="22"/>
          <w:szCs w:val="22"/>
        </w:rPr>
        <w:t xml:space="preserve">, la mayor aerolínea internacional del </w:t>
      </w:r>
      <w:r w:rsidR="00A21038">
        <w:rPr>
          <w:rFonts w:ascii="Century Gothic" w:eastAsia="Century Gothic" w:hAnsi="Century Gothic" w:cs="Century Gothic"/>
          <w:sz w:val="22"/>
          <w:szCs w:val="22"/>
        </w:rPr>
        <w:t xml:space="preserve">mundo, </w:t>
      </w:r>
      <w:r>
        <w:rPr>
          <w:rFonts w:ascii="Century Gothic" w:eastAsia="Century Gothic" w:hAnsi="Century Gothic" w:cs="Century Gothic"/>
          <w:sz w:val="22"/>
          <w:szCs w:val="22"/>
        </w:rPr>
        <w:t xml:space="preserve">ha anunciado hoy una gran inversión de 950 millones de dólares para construir una nueva instalación de ingeniería ultramoderna en el </w:t>
      </w:r>
      <w:proofErr w:type="spellStart"/>
      <w:r>
        <w:rPr>
          <w:rFonts w:ascii="Century Gothic" w:eastAsia="Century Gothic" w:hAnsi="Century Gothic" w:cs="Century Gothic"/>
          <w:i/>
          <w:sz w:val="22"/>
          <w:szCs w:val="22"/>
        </w:rPr>
        <w:t>Dubai</w:t>
      </w:r>
      <w:proofErr w:type="spellEnd"/>
      <w:r>
        <w:rPr>
          <w:rFonts w:ascii="Century Gothic" w:eastAsia="Century Gothic" w:hAnsi="Century Gothic" w:cs="Century Gothic"/>
          <w:i/>
          <w:sz w:val="22"/>
          <w:szCs w:val="22"/>
        </w:rPr>
        <w:t xml:space="preserve"> </w:t>
      </w:r>
      <w:proofErr w:type="spellStart"/>
      <w:r>
        <w:rPr>
          <w:rFonts w:ascii="Century Gothic" w:eastAsia="Century Gothic" w:hAnsi="Century Gothic" w:cs="Century Gothic"/>
          <w:i/>
          <w:sz w:val="22"/>
          <w:szCs w:val="22"/>
        </w:rPr>
        <w:t>World</w:t>
      </w:r>
      <w:proofErr w:type="spellEnd"/>
      <w:r>
        <w:rPr>
          <w:rFonts w:ascii="Century Gothic" w:eastAsia="Century Gothic" w:hAnsi="Century Gothic" w:cs="Century Gothic"/>
          <w:i/>
          <w:sz w:val="22"/>
          <w:szCs w:val="22"/>
        </w:rPr>
        <w:t xml:space="preserve"> Central</w:t>
      </w:r>
      <w:r>
        <w:rPr>
          <w:rFonts w:ascii="Century Gothic" w:eastAsia="Century Gothic" w:hAnsi="Century Gothic" w:cs="Century Gothic"/>
          <w:sz w:val="22"/>
          <w:szCs w:val="22"/>
        </w:rPr>
        <w:t xml:space="preserve"> (DWC).</w:t>
      </w:r>
    </w:p>
    <w:p w14:paraId="1C40F249" w14:textId="77777777"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Con una superficie de un millón de metros cuadrados, este complejo de ingeniería será el mayor y más avanzado de su clase explotado por una aerolínea, y dará un nuevo impulso a la infraestructura aeronáutica de categoría mundial de Dubái.</w:t>
      </w:r>
    </w:p>
    <w:p w14:paraId="029BA766" w14:textId="77777777"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Las instalaciones, construidas específicamente para cubrir las necesidades operativas y de flota de </w:t>
      </w:r>
      <w:proofErr w:type="spellStart"/>
      <w:r>
        <w:rPr>
          <w:rFonts w:ascii="Century Gothic" w:eastAsia="Century Gothic" w:hAnsi="Century Gothic" w:cs="Century Gothic"/>
          <w:sz w:val="22"/>
          <w:szCs w:val="22"/>
        </w:rPr>
        <w:t>Emirates</w:t>
      </w:r>
      <w:proofErr w:type="spellEnd"/>
      <w:r>
        <w:rPr>
          <w:rFonts w:ascii="Century Gothic" w:eastAsia="Century Gothic" w:hAnsi="Century Gothic" w:cs="Century Gothic"/>
          <w:sz w:val="22"/>
          <w:szCs w:val="22"/>
        </w:rPr>
        <w:t xml:space="preserve"> hasta la década de 2040, serán también un centro de excelencia para los servicios de ingeniería de aviación comercial en Oriente Próximo, con la posibilidad de ofrecer capacidad sobrante a otros operadores aéreos. ADP </w:t>
      </w:r>
      <w:proofErr w:type="spellStart"/>
      <w:r>
        <w:rPr>
          <w:rFonts w:ascii="Century Gothic" w:eastAsia="Century Gothic" w:hAnsi="Century Gothic" w:cs="Century Gothic"/>
          <w:sz w:val="22"/>
          <w:szCs w:val="22"/>
        </w:rPr>
        <w:t>Ingénierie</w:t>
      </w:r>
      <w:proofErr w:type="spellEnd"/>
      <w:r>
        <w:rPr>
          <w:rFonts w:ascii="Century Gothic" w:eastAsia="Century Gothic" w:hAnsi="Century Gothic" w:cs="Century Gothic"/>
          <w:sz w:val="22"/>
          <w:szCs w:val="22"/>
        </w:rPr>
        <w:t xml:space="preserve"> ha sido designada consultora del proyecto.</w:t>
      </w:r>
    </w:p>
    <w:p w14:paraId="2871B578" w14:textId="77777777"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En el contexto del Salón Aeronáutico de Dubái, </w:t>
      </w:r>
      <w:r>
        <w:rPr>
          <w:rFonts w:ascii="Century Gothic" w:eastAsia="Century Gothic" w:hAnsi="Century Gothic" w:cs="Century Gothic"/>
          <w:b/>
          <w:sz w:val="22"/>
          <w:szCs w:val="22"/>
        </w:rPr>
        <w:t xml:space="preserve">su Alteza el Jeque Ahmed </w:t>
      </w:r>
      <w:proofErr w:type="spellStart"/>
      <w:r>
        <w:rPr>
          <w:rFonts w:ascii="Century Gothic" w:eastAsia="Century Gothic" w:hAnsi="Century Gothic" w:cs="Century Gothic"/>
          <w:b/>
          <w:sz w:val="22"/>
          <w:szCs w:val="22"/>
        </w:rPr>
        <w:t>bin</w:t>
      </w:r>
      <w:proofErr w:type="spellEnd"/>
      <w:r>
        <w:rPr>
          <w:rFonts w:ascii="Century Gothic" w:eastAsia="Century Gothic" w:hAnsi="Century Gothic" w:cs="Century Gothic"/>
          <w:b/>
          <w:sz w:val="22"/>
          <w:szCs w:val="22"/>
        </w:rPr>
        <w:t xml:space="preserve"> </w:t>
      </w:r>
      <w:proofErr w:type="spellStart"/>
      <w:r>
        <w:rPr>
          <w:rFonts w:ascii="Century Gothic" w:eastAsia="Century Gothic" w:hAnsi="Century Gothic" w:cs="Century Gothic"/>
          <w:b/>
          <w:sz w:val="22"/>
          <w:szCs w:val="22"/>
        </w:rPr>
        <w:t>Saeed</w:t>
      </w:r>
      <w:proofErr w:type="spellEnd"/>
      <w:r>
        <w:rPr>
          <w:rFonts w:ascii="Century Gothic" w:eastAsia="Century Gothic" w:hAnsi="Century Gothic" w:cs="Century Gothic"/>
          <w:b/>
          <w:sz w:val="22"/>
          <w:szCs w:val="22"/>
        </w:rPr>
        <w:t xml:space="preserve"> Al Maktoum, </w:t>
      </w:r>
      <w:proofErr w:type="gramStart"/>
      <w:r>
        <w:rPr>
          <w:rFonts w:ascii="Century Gothic" w:eastAsia="Century Gothic" w:hAnsi="Century Gothic" w:cs="Century Gothic"/>
          <w:b/>
          <w:sz w:val="22"/>
          <w:szCs w:val="22"/>
        </w:rPr>
        <w:t>Presidente</w:t>
      </w:r>
      <w:proofErr w:type="gramEnd"/>
      <w:r>
        <w:rPr>
          <w:rFonts w:ascii="Century Gothic" w:eastAsia="Century Gothic" w:hAnsi="Century Gothic" w:cs="Century Gothic"/>
          <w:b/>
          <w:sz w:val="22"/>
          <w:szCs w:val="22"/>
        </w:rPr>
        <w:t xml:space="preserve"> y Consejero Delegado de la aerolínea y el Grupo </w:t>
      </w:r>
      <w:proofErr w:type="spellStart"/>
      <w:r>
        <w:rPr>
          <w:rFonts w:ascii="Century Gothic" w:eastAsia="Century Gothic" w:hAnsi="Century Gothic" w:cs="Century Gothic"/>
          <w:b/>
          <w:sz w:val="22"/>
          <w:szCs w:val="22"/>
        </w:rPr>
        <w:t>Emirates</w:t>
      </w:r>
      <w:proofErr w:type="spellEnd"/>
      <w:r>
        <w:rPr>
          <w:rFonts w:ascii="Century Gothic" w:eastAsia="Century Gothic" w:hAnsi="Century Gothic" w:cs="Century Gothic"/>
          <w:b/>
          <w:sz w:val="22"/>
          <w:szCs w:val="22"/>
        </w:rPr>
        <w:t>, declaró:</w:t>
      </w:r>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 xml:space="preserve">"Esta importante inversión demuestra nuestra confianza en el futuro crecimiento de </w:t>
      </w:r>
      <w:proofErr w:type="spellStart"/>
      <w:r>
        <w:rPr>
          <w:rFonts w:ascii="Century Gothic" w:eastAsia="Century Gothic" w:hAnsi="Century Gothic" w:cs="Century Gothic"/>
          <w:i/>
          <w:sz w:val="22"/>
          <w:szCs w:val="22"/>
        </w:rPr>
        <w:t>Emirates</w:t>
      </w:r>
      <w:proofErr w:type="spellEnd"/>
      <w:r>
        <w:rPr>
          <w:rFonts w:ascii="Century Gothic" w:eastAsia="Century Gothic" w:hAnsi="Century Gothic" w:cs="Century Gothic"/>
          <w:i/>
          <w:sz w:val="22"/>
          <w:szCs w:val="22"/>
        </w:rPr>
        <w:t xml:space="preserve"> y del sector de la aviación. Las nuevas instalaciones permitirán a </w:t>
      </w:r>
      <w:proofErr w:type="spellStart"/>
      <w:r>
        <w:rPr>
          <w:rFonts w:ascii="Century Gothic" w:eastAsia="Century Gothic" w:hAnsi="Century Gothic" w:cs="Century Gothic"/>
          <w:i/>
          <w:sz w:val="22"/>
          <w:szCs w:val="22"/>
        </w:rPr>
        <w:t>Emirates</w:t>
      </w:r>
      <w:proofErr w:type="spellEnd"/>
      <w:r>
        <w:rPr>
          <w:rFonts w:ascii="Century Gothic" w:eastAsia="Century Gothic" w:hAnsi="Century Gothic" w:cs="Century Gothic"/>
          <w:i/>
          <w:sz w:val="22"/>
          <w:szCs w:val="22"/>
        </w:rPr>
        <w:t xml:space="preserve"> ser totalmente autosuficiente en lo que respecta al mantenimiento, las reparaciones, las revisiones (MRO) y todas las necesidades de ingeniería de nuestra flota de aviones. Nos </w:t>
      </w:r>
      <w:r>
        <w:rPr>
          <w:rFonts w:ascii="Century Gothic" w:eastAsia="Century Gothic" w:hAnsi="Century Gothic" w:cs="Century Gothic"/>
          <w:i/>
          <w:sz w:val="22"/>
          <w:szCs w:val="22"/>
        </w:rPr>
        <w:lastRenderedPageBreak/>
        <w:t xml:space="preserve">proporciona estabilidad y flexibilidad operativas, así como garantía de calidad. Con el crecimiento previsto del sector de la aviación en la región, las nuevas instalaciones de ingeniería de </w:t>
      </w:r>
      <w:proofErr w:type="spellStart"/>
      <w:r>
        <w:rPr>
          <w:rFonts w:ascii="Century Gothic" w:eastAsia="Century Gothic" w:hAnsi="Century Gothic" w:cs="Century Gothic"/>
          <w:i/>
          <w:sz w:val="22"/>
          <w:szCs w:val="22"/>
        </w:rPr>
        <w:t>Emirates</w:t>
      </w:r>
      <w:proofErr w:type="spellEnd"/>
      <w:r>
        <w:rPr>
          <w:rFonts w:ascii="Century Gothic" w:eastAsia="Century Gothic" w:hAnsi="Century Gothic" w:cs="Century Gothic"/>
          <w:i/>
          <w:sz w:val="22"/>
          <w:szCs w:val="22"/>
        </w:rPr>
        <w:t xml:space="preserve"> también desempeñarán un papel clave como centro de excelencia, atrayendo la participación de actores globales de toda la cadena de suministro de la aviación. Creará miles de puestos de trabajo técnicos cualificados y añadirá valor a la economía de Dubái</w:t>
      </w:r>
      <w:r>
        <w:rPr>
          <w:rFonts w:ascii="Century Gothic" w:eastAsia="Century Gothic" w:hAnsi="Century Gothic" w:cs="Century Gothic"/>
          <w:sz w:val="22"/>
          <w:szCs w:val="22"/>
        </w:rPr>
        <w:t>".</w:t>
      </w:r>
    </w:p>
    <w:p w14:paraId="2D4B8607" w14:textId="77777777"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Las nuevas instalaciones de ingeniería de </w:t>
      </w:r>
      <w:proofErr w:type="spellStart"/>
      <w:r>
        <w:rPr>
          <w:rFonts w:ascii="Century Gothic" w:eastAsia="Century Gothic" w:hAnsi="Century Gothic" w:cs="Century Gothic"/>
          <w:sz w:val="22"/>
          <w:szCs w:val="22"/>
        </w:rPr>
        <w:t>Emirates</w:t>
      </w:r>
      <w:proofErr w:type="spellEnd"/>
      <w:r>
        <w:rPr>
          <w:rFonts w:ascii="Century Gothic" w:eastAsia="Century Gothic" w:hAnsi="Century Gothic" w:cs="Century Gothic"/>
          <w:sz w:val="22"/>
          <w:szCs w:val="22"/>
        </w:rPr>
        <w:t xml:space="preserve"> estarán equipadas para gestionar toda la gama de servicios especializados de ingeniería aeronáutica, desde comprobaciones rutinarias de aeronaves hasta trabajos de pintura a medida, programas de mantenimiento ligeros y pesados, reparación y pruebas de motores, acondicionamiento completo del interior de la cabina y transformaciones de aeronaves.</w:t>
      </w:r>
    </w:p>
    <w:p w14:paraId="45618552" w14:textId="77777777"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Ali Mubarak Al </w:t>
      </w:r>
      <w:proofErr w:type="spellStart"/>
      <w:r>
        <w:rPr>
          <w:rFonts w:ascii="Century Gothic" w:eastAsia="Century Gothic" w:hAnsi="Century Gothic" w:cs="Century Gothic"/>
          <w:b/>
          <w:sz w:val="22"/>
          <w:szCs w:val="22"/>
        </w:rPr>
        <w:t>Soori</w:t>
      </w:r>
      <w:proofErr w:type="spellEnd"/>
      <w:r>
        <w:rPr>
          <w:rFonts w:ascii="Century Gothic" w:eastAsia="Century Gothic" w:hAnsi="Century Gothic" w:cs="Century Gothic"/>
          <w:b/>
          <w:sz w:val="22"/>
          <w:szCs w:val="22"/>
        </w:rPr>
        <w:t xml:space="preserve">, </w:t>
      </w:r>
      <w:proofErr w:type="gramStart"/>
      <w:r>
        <w:rPr>
          <w:rFonts w:ascii="Century Gothic" w:eastAsia="Century Gothic" w:hAnsi="Century Gothic" w:cs="Century Gothic"/>
          <w:b/>
          <w:sz w:val="22"/>
          <w:szCs w:val="22"/>
        </w:rPr>
        <w:t>Vicepresidente</w:t>
      </w:r>
      <w:proofErr w:type="gramEnd"/>
      <w:r>
        <w:rPr>
          <w:rFonts w:ascii="Century Gothic" w:eastAsia="Century Gothic" w:hAnsi="Century Gothic" w:cs="Century Gothic"/>
          <w:b/>
          <w:sz w:val="22"/>
          <w:szCs w:val="22"/>
        </w:rPr>
        <w:t xml:space="preserve"> Ejecutivo de Instalaciones, Gestión de Proyectos y Compras y Cadena de Suministro del Grupo </w:t>
      </w:r>
      <w:proofErr w:type="spellStart"/>
      <w:r>
        <w:rPr>
          <w:rFonts w:ascii="Century Gothic" w:eastAsia="Century Gothic" w:hAnsi="Century Gothic" w:cs="Century Gothic"/>
          <w:b/>
          <w:sz w:val="22"/>
          <w:szCs w:val="22"/>
        </w:rPr>
        <w:t>Emirates</w:t>
      </w:r>
      <w:proofErr w:type="spellEnd"/>
      <w:r>
        <w:rPr>
          <w:rFonts w:ascii="Century Gothic" w:eastAsia="Century Gothic" w:hAnsi="Century Gothic" w:cs="Century Gothic"/>
          <w:b/>
          <w:sz w:val="22"/>
          <w:szCs w:val="22"/>
        </w:rPr>
        <w:t>, añade:</w:t>
      </w:r>
      <w:r>
        <w:rPr>
          <w:rFonts w:ascii="Century Gothic" w:eastAsia="Century Gothic" w:hAnsi="Century Gothic" w:cs="Century Gothic"/>
          <w:sz w:val="22"/>
          <w:szCs w:val="22"/>
        </w:rPr>
        <w:t xml:space="preserve"> "</w:t>
      </w:r>
      <w:r>
        <w:rPr>
          <w:rFonts w:ascii="Century Gothic" w:eastAsia="Century Gothic" w:hAnsi="Century Gothic" w:cs="Century Gothic"/>
          <w:i/>
          <w:sz w:val="22"/>
          <w:szCs w:val="22"/>
        </w:rPr>
        <w:t xml:space="preserve">Está previsto que los trabajos de construcción de la Fase 1 comiencen en 2024 y finalicen en 2027.  Se han tomado medidas para una mayor expansión, duplicando potencialmente la capacidad en la Fase 2, en línea con el crecimiento de la flota de </w:t>
      </w:r>
      <w:proofErr w:type="spellStart"/>
      <w:r>
        <w:rPr>
          <w:rFonts w:ascii="Century Gothic" w:eastAsia="Century Gothic" w:hAnsi="Century Gothic" w:cs="Century Gothic"/>
          <w:i/>
          <w:sz w:val="22"/>
          <w:szCs w:val="22"/>
        </w:rPr>
        <w:t>Emirates</w:t>
      </w:r>
      <w:proofErr w:type="spellEnd"/>
      <w:r>
        <w:rPr>
          <w:rFonts w:ascii="Century Gothic" w:eastAsia="Century Gothic" w:hAnsi="Century Gothic" w:cs="Century Gothic"/>
          <w:i/>
          <w:sz w:val="22"/>
          <w:szCs w:val="22"/>
        </w:rPr>
        <w:t xml:space="preserve"> y los requisitos operativos. El nuevo complejo de ‘</w:t>
      </w:r>
      <w:proofErr w:type="spellStart"/>
      <w:r>
        <w:rPr>
          <w:rFonts w:ascii="Century Gothic" w:eastAsia="Century Gothic" w:hAnsi="Century Gothic" w:cs="Century Gothic"/>
          <w:i/>
          <w:sz w:val="22"/>
          <w:szCs w:val="22"/>
        </w:rPr>
        <w:t>Emirates</w:t>
      </w:r>
      <w:proofErr w:type="spellEnd"/>
      <w:r>
        <w:rPr>
          <w:rFonts w:ascii="Century Gothic" w:eastAsia="Century Gothic" w:hAnsi="Century Gothic" w:cs="Century Gothic"/>
          <w:i/>
          <w:sz w:val="22"/>
          <w:szCs w:val="22"/>
        </w:rPr>
        <w:t xml:space="preserve"> </w:t>
      </w:r>
      <w:proofErr w:type="spellStart"/>
      <w:r>
        <w:rPr>
          <w:rFonts w:ascii="Century Gothic" w:eastAsia="Century Gothic" w:hAnsi="Century Gothic" w:cs="Century Gothic"/>
          <w:i/>
          <w:sz w:val="22"/>
          <w:szCs w:val="22"/>
        </w:rPr>
        <w:t>Engineering</w:t>
      </w:r>
      <w:proofErr w:type="spellEnd"/>
      <w:r>
        <w:rPr>
          <w:rFonts w:ascii="Century Gothic" w:eastAsia="Century Gothic" w:hAnsi="Century Gothic" w:cs="Century Gothic"/>
          <w:i/>
          <w:sz w:val="22"/>
          <w:szCs w:val="22"/>
        </w:rPr>
        <w:t>’ también incorporará la sostenibilidad en su diseño, incluyendo: el uso de materiales de construcción ecológicos en todo el complejo; la instalación de paneles solares en los tejados de todo el campus; y la puesta en marcha de sistemas de reciclaje de aceites y aguas residuales</w:t>
      </w:r>
      <w:r>
        <w:rPr>
          <w:rFonts w:ascii="Century Gothic" w:eastAsia="Century Gothic" w:hAnsi="Century Gothic" w:cs="Century Gothic"/>
          <w:sz w:val="22"/>
          <w:szCs w:val="22"/>
        </w:rPr>
        <w:t>".</w:t>
      </w:r>
    </w:p>
    <w:p w14:paraId="49447F45" w14:textId="77777777"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La Fase 1 del proyecto incluirá ocho hangares de mantenimiento y un hangar de pintura, todos ellos capaces de albergar aviones comerciales de cualquier tamaño hasta el código F (A380), una instalación de puesta a punto de motores, unos 20 talleres de apoyo, enormes almacenes y oficinas administrativas.</w:t>
      </w:r>
    </w:p>
    <w:p w14:paraId="63D343CB" w14:textId="77777777"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El actual Centro de Ingeniería de </w:t>
      </w:r>
      <w:proofErr w:type="spellStart"/>
      <w:r>
        <w:rPr>
          <w:rFonts w:ascii="Century Gothic" w:eastAsia="Century Gothic" w:hAnsi="Century Gothic" w:cs="Century Gothic"/>
          <w:sz w:val="22"/>
          <w:szCs w:val="22"/>
        </w:rPr>
        <w:t>Emirates</w:t>
      </w:r>
      <w:proofErr w:type="spellEnd"/>
      <w:r>
        <w:rPr>
          <w:rFonts w:ascii="Century Gothic" w:eastAsia="Century Gothic" w:hAnsi="Century Gothic" w:cs="Century Gothic"/>
          <w:sz w:val="22"/>
          <w:szCs w:val="22"/>
        </w:rPr>
        <w:t xml:space="preserve"> en Dubái International (DXB) seguirá prestando apoyo a las operaciones de la aerolínea, mientras que el nuevo complejo de </w:t>
      </w:r>
      <w:r>
        <w:rPr>
          <w:rFonts w:ascii="Century Gothic" w:eastAsia="Century Gothic" w:hAnsi="Century Gothic" w:cs="Century Gothic"/>
          <w:sz w:val="22"/>
          <w:szCs w:val="22"/>
        </w:rPr>
        <w:lastRenderedPageBreak/>
        <w:t>DWC se encargará inicialmente de los trabajos derivados y de los programas de mantenimiento pesado con mayor tiempo de permanencia en tierra de los aviones.</w:t>
      </w:r>
    </w:p>
    <w:p w14:paraId="3ADCB8C2" w14:textId="77777777" w:rsidR="00D410A0" w:rsidRDefault="00D410A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p>
    <w:p w14:paraId="40A8C78A" w14:textId="77777777"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22"/>
          <w:szCs w:val="22"/>
        </w:rPr>
      </w:pPr>
      <w:r>
        <w:rPr>
          <w:rFonts w:ascii="Century Gothic" w:eastAsia="Century Gothic" w:hAnsi="Century Gothic" w:cs="Century Gothic"/>
          <w:b/>
          <w:i/>
          <w:color w:val="000000"/>
          <w:sz w:val="18"/>
          <w:szCs w:val="18"/>
        </w:rPr>
        <w:t xml:space="preserve">Acerca de </w:t>
      </w:r>
      <w:proofErr w:type="spellStart"/>
      <w:r>
        <w:rPr>
          <w:rFonts w:ascii="Century Gothic" w:eastAsia="Century Gothic" w:hAnsi="Century Gothic" w:cs="Century Gothic"/>
          <w:b/>
          <w:i/>
          <w:color w:val="000000"/>
          <w:sz w:val="18"/>
          <w:szCs w:val="18"/>
        </w:rPr>
        <w:t>Emirates</w:t>
      </w:r>
      <w:proofErr w:type="spellEnd"/>
    </w:p>
    <w:p w14:paraId="25FBC38A" w14:textId="77777777" w:rsidR="00D410A0" w:rsidRDefault="00000000">
      <w:pPr>
        <w:pBdr>
          <w:top w:val="nil"/>
          <w:left w:val="nil"/>
          <w:bottom w:val="nil"/>
          <w:right w:val="nil"/>
          <w:between w:val="nil"/>
        </w:pBdr>
        <w:spacing w:before="280" w:line="360" w:lineRule="auto"/>
        <w:jc w:val="both"/>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Emirates</w:t>
      </w:r>
      <w:proofErr w:type="spellEnd"/>
      <w:r>
        <w:rPr>
          <w:rFonts w:ascii="Century Gothic" w:eastAsia="Century Gothic" w:hAnsi="Century Gothic" w:cs="Century Gothic"/>
          <w:sz w:val="18"/>
          <w:szCs w:val="18"/>
        </w:rPr>
        <w:t xml:space="preserve">, la mayor aerolínea internacional de pasajeros, opera en España desde 2010. La compañía conecta a los viajeros españoles a través de su </w:t>
      </w:r>
      <w:proofErr w:type="spellStart"/>
      <w:proofErr w:type="gramStart"/>
      <w:r>
        <w:rPr>
          <w:rFonts w:ascii="Century Gothic" w:eastAsia="Century Gothic" w:hAnsi="Century Gothic" w:cs="Century Gothic"/>
          <w:sz w:val="18"/>
          <w:szCs w:val="18"/>
        </w:rPr>
        <w:t>hub</w:t>
      </w:r>
      <w:proofErr w:type="spellEnd"/>
      <w:proofErr w:type="gramEnd"/>
      <w:r>
        <w:rPr>
          <w:rFonts w:ascii="Century Gothic" w:eastAsia="Century Gothic" w:hAnsi="Century Gothic" w:cs="Century Gothic"/>
          <w:sz w:val="18"/>
          <w:szCs w:val="18"/>
        </w:rPr>
        <w:t xml:space="preserve"> global en Dubái con más de 130 destinos en todo el mundo. </w:t>
      </w:r>
      <w:proofErr w:type="spellStart"/>
      <w:r>
        <w:rPr>
          <w:rFonts w:ascii="Century Gothic" w:eastAsia="Century Gothic" w:hAnsi="Century Gothic" w:cs="Century Gothic"/>
          <w:sz w:val="18"/>
          <w:szCs w:val="18"/>
        </w:rPr>
        <w:t>Emirates</w:t>
      </w:r>
      <w:proofErr w:type="spellEnd"/>
      <w:r>
        <w:rPr>
          <w:rFonts w:ascii="Century Gothic" w:eastAsia="Century Gothic" w:hAnsi="Century Gothic" w:cs="Century Gothic"/>
          <w:sz w:val="18"/>
          <w:szCs w:val="18"/>
        </w:rPr>
        <w:t xml:space="preserve"> une Dubái con Madrid y Barcelona, así como también Ciudad de México vía Barcelona. </w:t>
      </w:r>
      <w:proofErr w:type="spellStart"/>
      <w:r>
        <w:rPr>
          <w:rFonts w:ascii="Century Gothic" w:eastAsia="Century Gothic" w:hAnsi="Century Gothic" w:cs="Century Gothic"/>
          <w:sz w:val="18"/>
          <w:szCs w:val="18"/>
        </w:rPr>
        <w:t>Emirates</w:t>
      </w:r>
      <w:proofErr w:type="spellEnd"/>
      <w:r>
        <w:rPr>
          <w:rFonts w:ascii="Century Gothic" w:eastAsia="Century Gothic" w:hAnsi="Century Gothic" w:cs="Century Gothic"/>
          <w:sz w:val="18"/>
          <w:szCs w:val="18"/>
        </w:rPr>
        <w:t xml:space="preserve"> ha conseguido el reconocimiento a la "Mejor Primera Clase del Mundo" en los premios Tripadvisor </w:t>
      </w:r>
      <w:proofErr w:type="spellStart"/>
      <w:r>
        <w:rPr>
          <w:rFonts w:ascii="Century Gothic" w:eastAsia="Century Gothic" w:hAnsi="Century Gothic" w:cs="Century Gothic"/>
          <w:sz w:val="18"/>
          <w:szCs w:val="18"/>
        </w:rPr>
        <w:t>Travelers</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Choice</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Awards</w:t>
      </w:r>
      <w:proofErr w:type="spellEnd"/>
      <w:r>
        <w:rPr>
          <w:rFonts w:ascii="Century Gothic" w:eastAsia="Century Gothic" w:hAnsi="Century Gothic" w:cs="Century Gothic"/>
          <w:sz w:val="18"/>
          <w:szCs w:val="18"/>
        </w:rPr>
        <w:t xml:space="preserve"> para aerolíneas en 2020; los galardones al "Mejor </w:t>
      </w:r>
      <w:proofErr w:type="spellStart"/>
      <w:r>
        <w:rPr>
          <w:rFonts w:ascii="Century Gothic" w:eastAsia="Century Gothic" w:hAnsi="Century Gothic" w:cs="Century Gothic"/>
          <w:sz w:val="18"/>
          <w:szCs w:val="18"/>
        </w:rPr>
        <w:t>Wi</w:t>
      </w:r>
      <w:proofErr w:type="spellEnd"/>
      <w:r>
        <w:rPr>
          <w:rFonts w:ascii="Century Gothic" w:eastAsia="Century Gothic" w:hAnsi="Century Gothic" w:cs="Century Gothic"/>
          <w:sz w:val="18"/>
          <w:szCs w:val="18"/>
        </w:rPr>
        <w:t xml:space="preserve">-Fi y Mejor Comida y Bebida" en Oriente Medio en los APEX Regional Passenger </w:t>
      </w:r>
      <w:proofErr w:type="spellStart"/>
      <w:r>
        <w:rPr>
          <w:rFonts w:ascii="Century Gothic" w:eastAsia="Century Gothic" w:hAnsi="Century Gothic" w:cs="Century Gothic"/>
          <w:sz w:val="18"/>
          <w:szCs w:val="18"/>
        </w:rPr>
        <w:t>Choice</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Awards</w:t>
      </w:r>
      <w:proofErr w:type="spellEnd"/>
      <w:r>
        <w:rPr>
          <w:rFonts w:ascii="Century Gothic" w:eastAsia="Century Gothic" w:hAnsi="Century Gothic" w:cs="Century Gothic"/>
          <w:sz w:val="18"/>
          <w:szCs w:val="18"/>
        </w:rPr>
        <w:t xml:space="preserve">® 2022; "Mejor Entretenimiento a </w:t>
      </w:r>
      <w:proofErr w:type="spellStart"/>
      <w:r>
        <w:rPr>
          <w:rFonts w:ascii="Century Gothic" w:eastAsia="Century Gothic" w:hAnsi="Century Gothic" w:cs="Century Gothic"/>
          <w:sz w:val="18"/>
          <w:szCs w:val="18"/>
        </w:rPr>
        <w:t>Bordo"en</w:t>
      </w:r>
      <w:proofErr w:type="spellEnd"/>
      <w:r>
        <w:rPr>
          <w:rFonts w:ascii="Century Gothic" w:eastAsia="Century Gothic" w:hAnsi="Century Gothic" w:cs="Century Gothic"/>
          <w:sz w:val="18"/>
          <w:szCs w:val="18"/>
        </w:rPr>
        <w:t xml:space="preserve"> los premios Business </w:t>
      </w:r>
      <w:proofErr w:type="spellStart"/>
      <w:r>
        <w:rPr>
          <w:rFonts w:ascii="Century Gothic" w:eastAsia="Century Gothic" w:hAnsi="Century Gothic" w:cs="Century Gothic"/>
          <w:sz w:val="18"/>
          <w:szCs w:val="18"/>
        </w:rPr>
        <w:t>Traveller</w:t>
      </w:r>
      <w:proofErr w:type="spellEnd"/>
      <w:r>
        <w:rPr>
          <w:rFonts w:ascii="Century Gothic" w:eastAsia="Century Gothic" w:hAnsi="Century Gothic" w:cs="Century Gothic"/>
          <w:sz w:val="18"/>
          <w:szCs w:val="18"/>
        </w:rPr>
        <w:t xml:space="preserve"> de 2020; y "Mejor Aerolínea del Mundo en Entretenimiento a Bordo" en los premios </w:t>
      </w:r>
      <w:proofErr w:type="spellStart"/>
      <w:r>
        <w:rPr>
          <w:rFonts w:ascii="Century Gothic" w:eastAsia="Century Gothic" w:hAnsi="Century Gothic" w:cs="Century Gothic"/>
          <w:sz w:val="18"/>
          <w:szCs w:val="18"/>
        </w:rPr>
        <w:t>SkyTrax</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World</w:t>
      </w:r>
      <w:proofErr w:type="spellEnd"/>
      <w:r>
        <w:rPr>
          <w:rFonts w:ascii="Century Gothic" w:eastAsia="Century Gothic" w:hAnsi="Century Gothic" w:cs="Century Gothic"/>
          <w:sz w:val="18"/>
          <w:szCs w:val="18"/>
        </w:rPr>
        <w:t xml:space="preserve"> Airlines de 2022.</w:t>
      </w:r>
    </w:p>
    <w:sectPr w:rsidR="00D410A0">
      <w:headerReference w:type="default" r:id="rId8"/>
      <w:pgSz w:w="11900" w:h="16840"/>
      <w:pgMar w:top="1417" w:right="1268" w:bottom="734" w:left="127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1646" w14:textId="77777777" w:rsidR="00FF4AB6" w:rsidRDefault="00FF4AB6">
      <w:r>
        <w:separator/>
      </w:r>
    </w:p>
  </w:endnote>
  <w:endnote w:type="continuationSeparator" w:id="0">
    <w:p w14:paraId="29B5FB41" w14:textId="77777777" w:rsidR="00FF4AB6" w:rsidRDefault="00F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722BB" w14:textId="77777777" w:rsidR="00FF4AB6" w:rsidRDefault="00FF4AB6">
      <w:r>
        <w:separator/>
      </w:r>
    </w:p>
  </w:footnote>
  <w:footnote w:type="continuationSeparator" w:id="0">
    <w:p w14:paraId="5CC78387" w14:textId="77777777" w:rsidR="00FF4AB6" w:rsidRDefault="00FF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A653" w14:textId="77777777" w:rsidR="00D410A0" w:rsidRDefault="00000000">
    <w:pPr>
      <w:pBdr>
        <w:top w:val="nil"/>
        <w:left w:val="nil"/>
        <w:bottom w:val="nil"/>
        <w:right w:val="nil"/>
        <w:between w:val="nil"/>
      </w:pBdr>
      <w:tabs>
        <w:tab w:val="right" w:pos="8478"/>
      </w:tabs>
      <w:spacing w:after="200"/>
      <w:rPr>
        <w:rFonts w:ascii="Cambria" w:eastAsia="Cambria" w:hAnsi="Cambria" w:cs="Cambria"/>
        <w:color w:val="000000"/>
      </w:rPr>
    </w:pPr>
    <w:r>
      <w:rPr>
        <w:noProof/>
      </w:rPr>
      <w:drawing>
        <wp:anchor distT="0" distB="0" distL="0" distR="0" simplePos="0" relativeHeight="251658240" behindDoc="0" locked="0" layoutInCell="1" hidden="0" allowOverlap="1" wp14:anchorId="492544DA" wp14:editId="35CF3C1B">
          <wp:simplePos x="0" y="0"/>
          <wp:positionH relativeFrom="column">
            <wp:posOffset>0</wp:posOffset>
          </wp:positionH>
          <wp:positionV relativeFrom="paragraph">
            <wp:posOffset>0</wp:posOffset>
          </wp:positionV>
          <wp:extent cx="2073275" cy="143065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73275" cy="1430655"/>
                  </a:xfrm>
                  <a:prstGeom prst="rect">
                    <a:avLst/>
                  </a:prstGeom>
                  <a:ln/>
                </pic:spPr>
              </pic:pic>
            </a:graphicData>
          </a:graphic>
        </wp:anchor>
      </w:drawing>
    </w:r>
  </w:p>
  <w:p w14:paraId="31B58EB4" w14:textId="77777777" w:rsidR="00D410A0" w:rsidRDefault="00D410A0">
    <w:pPr>
      <w:pBdr>
        <w:top w:val="nil"/>
        <w:left w:val="nil"/>
        <w:bottom w:val="nil"/>
        <w:right w:val="nil"/>
        <w:between w:val="nil"/>
      </w:pBdr>
      <w:tabs>
        <w:tab w:val="right" w:pos="8478"/>
      </w:tabs>
      <w:spacing w:after="200"/>
      <w:rPr>
        <w:rFonts w:ascii="Cambria" w:eastAsia="Cambria" w:hAnsi="Cambria" w:cs="Cambria"/>
        <w:color w:val="000000"/>
      </w:rPr>
    </w:pPr>
  </w:p>
  <w:p w14:paraId="1D304CFC" w14:textId="77777777" w:rsidR="00D410A0" w:rsidRDefault="00D410A0">
    <w:pPr>
      <w:pBdr>
        <w:top w:val="nil"/>
        <w:left w:val="nil"/>
        <w:bottom w:val="nil"/>
        <w:right w:val="nil"/>
        <w:between w:val="nil"/>
      </w:pBdr>
      <w:tabs>
        <w:tab w:val="right" w:pos="8478"/>
      </w:tabs>
      <w:spacing w:after="200"/>
      <w:rPr>
        <w:rFonts w:ascii="Cambria" w:eastAsia="Cambria" w:hAnsi="Cambria" w:cs="Cambria"/>
        <w:color w:val="000000"/>
      </w:rPr>
    </w:pPr>
  </w:p>
  <w:p w14:paraId="61061EDC" w14:textId="77777777" w:rsidR="00D410A0" w:rsidRDefault="00D410A0">
    <w:pPr>
      <w:pBdr>
        <w:top w:val="nil"/>
        <w:left w:val="nil"/>
        <w:bottom w:val="nil"/>
        <w:right w:val="nil"/>
        <w:between w:val="nil"/>
      </w:pBdr>
      <w:tabs>
        <w:tab w:val="right" w:pos="8478"/>
      </w:tabs>
      <w:spacing w:after="200"/>
      <w:rPr>
        <w:rFonts w:ascii="Cambria" w:eastAsia="Cambria" w:hAnsi="Cambria" w:cs="Cambria"/>
        <w:color w:val="000000"/>
      </w:rPr>
    </w:pPr>
  </w:p>
  <w:p w14:paraId="42DACA6B" w14:textId="77777777" w:rsidR="00D410A0" w:rsidRDefault="00D410A0">
    <w:pPr>
      <w:pBdr>
        <w:top w:val="nil"/>
        <w:left w:val="nil"/>
        <w:bottom w:val="nil"/>
        <w:right w:val="nil"/>
        <w:between w:val="nil"/>
      </w:pBdr>
      <w:tabs>
        <w:tab w:val="right" w:pos="8478"/>
      </w:tabs>
      <w:spacing w:after="200"/>
      <w:rPr>
        <w:rFonts w:ascii="Cambria" w:eastAsia="Cambria" w:hAnsi="Cambria" w:cs="Cambria"/>
        <w:color w:val="000000"/>
      </w:rPr>
    </w:pPr>
  </w:p>
  <w:p w14:paraId="5E94454F" w14:textId="77777777" w:rsidR="00D410A0" w:rsidRDefault="00D410A0">
    <w:pPr>
      <w:pBdr>
        <w:top w:val="nil"/>
        <w:left w:val="nil"/>
        <w:bottom w:val="nil"/>
        <w:right w:val="nil"/>
        <w:between w:val="nil"/>
      </w:pBdr>
      <w:tabs>
        <w:tab w:val="right" w:pos="8478"/>
      </w:tabs>
      <w:spacing w:after="200"/>
      <w:rPr>
        <w:rFonts w:ascii="Cambria" w:eastAsia="Cambria" w:hAnsi="Cambria" w:cs="Cambr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A0"/>
    <w:rsid w:val="00A21038"/>
    <w:rsid w:val="00D410A0"/>
    <w:rsid w:val="00FF4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6A1EF74"/>
  <w15:docId w15:val="{1A68B215-D200-0943-99AC-6A1DEFBB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paragraph" w:styleId="Prrafodelista">
    <w:name w:val="List Paragraph"/>
    <w:aliases w:val="numbered,Paragraphe de liste1,Bullet List,FooterText"/>
    <w:basedOn w:val="Normal"/>
    <w:link w:val="PrrafodelistaCar"/>
    <w:uiPriority w:val="34"/>
    <w:qFormat/>
    <w:rsid w:val="004348AD"/>
    <w:pPr>
      <w:ind w:left="720"/>
      <w:contextualSpacing/>
    </w:pPr>
  </w:style>
  <w:style w:type="character" w:styleId="Hipervnculo">
    <w:name w:val="Hyperlink"/>
    <w:basedOn w:val="Fuentedeprrafopredeter"/>
    <w:uiPriority w:val="99"/>
    <w:unhideWhenUsed/>
    <w:rsid w:val="00D15796"/>
    <w:rPr>
      <w:color w:val="0000FF" w:themeColor="hyperlink"/>
      <w:u w:val="single"/>
    </w:rPr>
  </w:style>
  <w:style w:type="character" w:customStyle="1" w:styleId="Mencinsinresolver1">
    <w:name w:val="Mención sin resolver1"/>
    <w:basedOn w:val="Fuentedeprrafopredeter"/>
    <w:uiPriority w:val="99"/>
    <w:semiHidden/>
    <w:unhideWhenUsed/>
    <w:rsid w:val="007E7562"/>
    <w:rPr>
      <w:color w:val="605E5C"/>
      <w:shd w:val="clear" w:color="auto" w:fill="E1DFDD"/>
    </w:rPr>
  </w:style>
  <w:style w:type="character" w:styleId="Hipervnculovisitado">
    <w:name w:val="FollowedHyperlink"/>
    <w:basedOn w:val="Fuentedeprrafopredeter"/>
    <w:uiPriority w:val="99"/>
    <w:semiHidden/>
    <w:unhideWhenUsed/>
    <w:rsid w:val="007E7562"/>
    <w:rPr>
      <w:color w:val="800080" w:themeColor="followedHyperlink"/>
      <w:u w:val="single"/>
    </w:rPr>
  </w:style>
  <w:style w:type="paragraph" w:styleId="Encabezado">
    <w:name w:val="header"/>
    <w:basedOn w:val="Normal"/>
    <w:link w:val="EncabezadoCar"/>
    <w:uiPriority w:val="99"/>
    <w:unhideWhenUsed/>
    <w:rsid w:val="003E7D4F"/>
    <w:pPr>
      <w:tabs>
        <w:tab w:val="center" w:pos="4252"/>
        <w:tab w:val="right" w:pos="8504"/>
      </w:tabs>
    </w:pPr>
  </w:style>
  <w:style w:type="character" w:customStyle="1" w:styleId="EncabezadoCar">
    <w:name w:val="Encabezado Car"/>
    <w:basedOn w:val="Fuentedeprrafopredeter"/>
    <w:link w:val="Encabezado"/>
    <w:uiPriority w:val="99"/>
    <w:rsid w:val="003E7D4F"/>
  </w:style>
  <w:style w:type="paragraph" w:styleId="Piedepgina">
    <w:name w:val="footer"/>
    <w:basedOn w:val="Normal"/>
    <w:link w:val="PiedepginaCar"/>
    <w:uiPriority w:val="99"/>
    <w:unhideWhenUsed/>
    <w:rsid w:val="003E7D4F"/>
    <w:pPr>
      <w:tabs>
        <w:tab w:val="center" w:pos="4252"/>
        <w:tab w:val="right" w:pos="8504"/>
      </w:tabs>
    </w:pPr>
  </w:style>
  <w:style w:type="character" w:customStyle="1" w:styleId="PiedepginaCar">
    <w:name w:val="Pie de página Car"/>
    <w:basedOn w:val="Fuentedeprrafopredeter"/>
    <w:link w:val="Piedepgina"/>
    <w:uiPriority w:val="99"/>
    <w:rsid w:val="003E7D4F"/>
  </w:style>
  <w:style w:type="paragraph" w:styleId="NormalWeb">
    <w:name w:val="Normal (Web)"/>
    <w:basedOn w:val="Normal"/>
    <w:uiPriority w:val="99"/>
    <w:unhideWhenUsed/>
    <w:rsid w:val="001863FF"/>
    <w:pPr>
      <w:spacing w:before="100" w:beforeAutospacing="1" w:after="100" w:afterAutospacing="1"/>
    </w:pPr>
    <w:rPr>
      <w:rFonts w:ascii="Calibri" w:eastAsiaTheme="minorHAnsi" w:hAnsi="Calibri" w:cs="Calibri"/>
      <w:sz w:val="22"/>
      <w:szCs w:val="22"/>
      <w:lang w:val="en-GB"/>
    </w:rPr>
  </w:style>
  <w:style w:type="character" w:styleId="Textoennegrita">
    <w:name w:val="Strong"/>
    <w:basedOn w:val="Fuentedeprrafopredeter"/>
    <w:uiPriority w:val="22"/>
    <w:qFormat/>
    <w:rsid w:val="009368A3"/>
    <w:rPr>
      <w:b/>
      <w:bCs/>
    </w:rPr>
  </w:style>
  <w:style w:type="character" w:styleId="Mencinsinresolver">
    <w:name w:val="Unresolved Mention"/>
    <w:basedOn w:val="Fuentedeprrafopredeter"/>
    <w:uiPriority w:val="99"/>
    <w:semiHidden/>
    <w:unhideWhenUsed/>
    <w:rsid w:val="005647D6"/>
    <w:rPr>
      <w:color w:val="605E5C"/>
      <w:shd w:val="clear" w:color="auto" w:fill="E1DFDD"/>
    </w:rPr>
  </w:style>
  <w:style w:type="paragraph" w:styleId="Textocomentario">
    <w:name w:val="annotation text"/>
    <w:basedOn w:val="Normal"/>
    <w:link w:val="TextocomentarioCar"/>
    <w:uiPriority w:val="99"/>
    <w:semiHidden/>
    <w:unhideWhenUsed/>
    <w:rsid w:val="005647D6"/>
    <w:pPr>
      <w:spacing w:after="160"/>
    </w:pPr>
    <w:rPr>
      <w:rFonts w:asciiTheme="minorHAnsi" w:eastAsiaTheme="minorEastAsia" w:hAnsiTheme="minorHAnsi" w:cstheme="minorBidi"/>
      <w:sz w:val="20"/>
      <w:szCs w:val="20"/>
      <w:lang w:val="en-GB" w:eastAsia="zh-CN"/>
    </w:rPr>
  </w:style>
  <w:style w:type="character" w:customStyle="1" w:styleId="TextocomentarioCar">
    <w:name w:val="Texto comentario Car"/>
    <w:basedOn w:val="Fuentedeprrafopredeter"/>
    <w:link w:val="Textocomentario"/>
    <w:uiPriority w:val="99"/>
    <w:semiHidden/>
    <w:rsid w:val="005647D6"/>
    <w:rPr>
      <w:rFonts w:asciiTheme="minorHAnsi" w:eastAsiaTheme="minorEastAsia" w:hAnsiTheme="minorHAnsi" w:cstheme="minorBidi"/>
      <w:sz w:val="20"/>
      <w:szCs w:val="20"/>
      <w:lang w:val="en-GB" w:eastAsia="zh-CN"/>
    </w:rPr>
  </w:style>
  <w:style w:type="character" w:customStyle="1" w:styleId="PrrafodelistaCar">
    <w:name w:val="Párrafo de lista Car"/>
    <w:aliases w:val="numbered Car,Paragraphe de liste1 Car,Bullet List Car,FooterText Car"/>
    <w:basedOn w:val="Fuentedeprrafopredeter"/>
    <w:link w:val="Prrafodelista"/>
    <w:uiPriority w:val="34"/>
    <w:locked/>
    <w:rsid w:val="005647D6"/>
  </w:style>
  <w:style w:type="character" w:customStyle="1" w:styleId="wordsection1Char">
    <w:name w:val="wordsection1 Char"/>
    <w:basedOn w:val="Fuentedeprrafopredeter"/>
    <w:link w:val="wordsection1"/>
    <w:uiPriority w:val="99"/>
    <w:locked/>
    <w:rsid w:val="005647D6"/>
    <w:rPr>
      <w:rFonts w:ascii="Calibri" w:hAnsi="Calibri" w:cs="Calibri"/>
    </w:rPr>
  </w:style>
  <w:style w:type="paragraph" w:customStyle="1" w:styleId="wordsection1">
    <w:name w:val="wordsection1"/>
    <w:basedOn w:val="Normal"/>
    <w:link w:val="wordsection1Char"/>
    <w:uiPriority w:val="99"/>
    <w:rsid w:val="005647D6"/>
    <w:rPr>
      <w:rFonts w:ascii="Calibri" w:hAnsi="Calibri" w:cs="Calibri"/>
    </w:rPr>
  </w:style>
  <w:style w:type="character" w:styleId="Refdecomentario">
    <w:name w:val="annotation reference"/>
    <w:basedOn w:val="Fuentedeprrafopredeter"/>
    <w:uiPriority w:val="99"/>
    <w:semiHidden/>
    <w:unhideWhenUsed/>
    <w:rsid w:val="005647D6"/>
    <w:rPr>
      <w:sz w:val="16"/>
      <w:szCs w:val="16"/>
    </w:rPr>
  </w:style>
  <w:style w:type="character" w:customStyle="1" w:styleId="normaltextrun">
    <w:name w:val="normaltextrun"/>
    <w:basedOn w:val="Fuentedeprrafopredeter"/>
    <w:rsid w:val="005647D6"/>
  </w:style>
  <w:style w:type="table" w:customStyle="1" w:styleId="a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nsa@serga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iT/Y/UHWVf/WAUzqcBx36zFo4A==">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4033</Characters>
  <Application>Microsoft Office Word</Application>
  <DocSecurity>0</DocSecurity>
  <Lines>68</Lines>
  <Paragraphs>20</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Ana</cp:lastModifiedBy>
  <cp:revision>2</cp:revision>
  <dcterms:created xsi:type="dcterms:W3CDTF">2023-11-14T09:20:00Z</dcterms:created>
  <dcterms:modified xsi:type="dcterms:W3CDTF">2023-11-14T10:54:00Z</dcterms:modified>
  <cp:category/>
</cp:coreProperties>
</file>