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B3617" w14:textId="77777777" w:rsidR="003C11C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5AB6C315" w14:textId="77777777" w:rsidR="003C11C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3066D558" w14:textId="77777777" w:rsidR="003C11C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74136D34" w14:textId="77777777" w:rsidR="003C11C9"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285154BC" w14:textId="77777777" w:rsidR="003C11C9"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3C11C9" w14:paraId="6C271021" w14:textId="77777777">
        <w:trPr>
          <w:jc w:val="center"/>
        </w:trPr>
        <w:tc>
          <w:tcPr>
            <w:tcW w:w="5775" w:type="dxa"/>
            <w:vAlign w:val="center"/>
          </w:tcPr>
          <w:p w14:paraId="532C78E7" w14:textId="77777777" w:rsidR="003C11C9" w:rsidRDefault="003C11C9">
            <w:pPr>
              <w:rPr>
                <w:sz w:val="20"/>
                <w:szCs w:val="20"/>
              </w:rPr>
            </w:pPr>
          </w:p>
        </w:tc>
      </w:tr>
    </w:tbl>
    <w:p w14:paraId="31A2B681" w14:textId="77777777" w:rsidR="003C11C9"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w:t>
      </w:r>
      <w:proofErr w:type="spellStart"/>
      <w:r>
        <w:rPr>
          <w:rFonts w:ascii="Century Gothic" w:eastAsia="Century Gothic" w:hAnsi="Century Gothic" w:cs="Century Gothic"/>
          <w:b/>
        </w:rPr>
        <w:t>SkyCargo</w:t>
      </w:r>
      <w:proofErr w:type="spellEnd"/>
      <w:r>
        <w:rPr>
          <w:rFonts w:ascii="Century Gothic" w:eastAsia="Century Gothic" w:hAnsi="Century Gothic" w:cs="Century Gothic"/>
          <w:b/>
        </w:rPr>
        <w:t xml:space="preserve"> se apoyará en los éxitos de 2023 para avanzar en sus planes estratégicos de crecimiento a largo plazo</w:t>
      </w:r>
    </w:p>
    <w:p w14:paraId="4A4037B9"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EAU, 21 de diciembre de 2023:</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la división de carga de la mayor aerolínea internacional del </w:t>
      </w:r>
      <w:proofErr w:type="gramStart"/>
      <w:r>
        <w:rPr>
          <w:rFonts w:ascii="Century Gothic" w:eastAsia="Century Gothic" w:hAnsi="Century Gothic" w:cs="Century Gothic"/>
          <w:sz w:val="22"/>
          <w:szCs w:val="22"/>
        </w:rPr>
        <w:t>mundo,</w:t>
      </w:r>
      <w:proofErr w:type="gramEnd"/>
      <w:r>
        <w:rPr>
          <w:rFonts w:ascii="Century Gothic" w:eastAsia="Century Gothic" w:hAnsi="Century Gothic" w:cs="Century Gothic"/>
          <w:sz w:val="22"/>
          <w:szCs w:val="22"/>
        </w:rPr>
        <w:t xml:space="preserve"> concluye un importante año de crecimiento e inversión en sus operaciones actuales y futuras. Como muestra de su confianza en el papel esencial que la carga aérea seguirá desempeñando en el comercio mundial, la aerolínea ha dado pasos significativos hacia sus planes estratégicos de crecimiento a largo plazo para duplicar la capacidad en la próxima década y consolidar aún más su posición de liderazgo en la logística aérea mundial.</w:t>
      </w:r>
    </w:p>
    <w:p w14:paraId="1CA68B47"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i/>
          <w:sz w:val="22"/>
          <w:szCs w:val="22"/>
        </w:rPr>
      </w:pPr>
      <w:r>
        <w:rPr>
          <w:rFonts w:ascii="Century Gothic" w:eastAsia="Century Gothic" w:hAnsi="Century Gothic" w:cs="Century Gothic"/>
          <w:b/>
          <w:sz w:val="22"/>
          <w:szCs w:val="22"/>
        </w:rPr>
        <w:t xml:space="preserve">Nabil </w:t>
      </w:r>
      <w:proofErr w:type="spellStart"/>
      <w:r>
        <w:rPr>
          <w:rFonts w:ascii="Century Gothic" w:eastAsia="Century Gothic" w:hAnsi="Century Gothic" w:cs="Century Gothic"/>
          <w:b/>
          <w:sz w:val="22"/>
          <w:szCs w:val="22"/>
        </w:rPr>
        <w:t>Sultan</w:t>
      </w:r>
      <w:proofErr w:type="spellEnd"/>
      <w:r>
        <w:rPr>
          <w:rFonts w:ascii="Century Gothic" w:eastAsia="Century Gothic" w:hAnsi="Century Gothic" w:cs="Century Gothic"/>
          <w:b/>
          <w:sz w:val="22"/>
          <w:szCs w:val="22"/>
        </w:rPr>
        <w:t xml:space="preserve">, </w:t>
      </w:r>
      <w:proofErr w:type="gramStart"/>
      <w:r>
        <w:rPr>
          <w:rFonts w:ascii="Century Gothic" w:eastAsia="Century Gothic" w:hAnsi="Century Gothic" w:cs="Century Gothic"/>
          <w:b/>
          <w:sz w:val="22"/>
          <w:szCs w:val="22"/>
        </w:rPr>
        <w:t>Vicepresidente</w:t>
      </w:r>
      <w:proofErr w:type="gramEnd"/>
      <w:r>
        <w:rPr>
          <w:rFonts w:ascii="Century Gothic" w:eastAsia="Century Gothic" w:hAnsi="Century Gothic" w:cs="Century Gothic"/>
          <w:b/>
          <w:sz w:val="22"/>
          <w:szCs w:val="22"/>
        </w:rPr>
        <w:t xml:space="preserve"> Senior de División de </w:t>
      </w:r>
      <w:proofErr w:type="spellStart"/>
      <w:r>
        <w:rPr>
          <w:rFonts w:ascii="Century Gothic" w:eastAsia="Century Gothic" w:hAnsi="Century Gothic" w:cs="Century Gothic"/>
          <w:b/>
          <w:sz w:val="22"/>
          <w:szCs w:val="22"/>
        </w:rPr>
        <w:t>Emirates</w:t>
      </w:r>
      <w:proofErr w:type="spellEnd"/>
      <w:r>
        <w:rPr>
          <w:rFonts w:ascii="Century Gothic" w:eastAsia="Century Gothic" w:hAnsi="Century Gothic" w:cs="Century Gothic"/>
          <w:b/>
          <w:sz w:val="22"/>
          <w:szCs w:val="22"/>
        </w:rPr>
        <w:t xml:space="preserve"> </w:t>
      </w:r>
      <w:proofErr w:type="spellStart"/>
      <w:r>
        <w:rPr>
          <w:rFonts w:ascii="Century Gothic" w:eastAsia="Century Gothic" w:hAnsi="Century Gothic" w:cs="Century Gothic"/>
          <w:b/>
          <w:sz w:val="22"/>
          <w:szCs w:val="22"/>
        </w:rPr>
        <w:t>SkyCargo</w:t>
      </w:r>
      <w:proofErr w:type="spellEnd"/>
      <w:r>
        <w:rPr>
          <w:rFonts w:ascii="Century Gothic" w:eastAsia="Century Gothic" w:hAnsi="Century Gothic" w:cs="Century Gothic"/>
          <w:b/>
          <w:sz w:val="22"/>
          <w:szCs w:val="22"/>
        </w:rPr>
        <w:t>, declaró:</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 xml:space="preserve">2023 ha sido un año crucial para </w:t>
      </w:r>
      <w:proofErr w:type="spellStart"/>
      <w:r>
        <w:rPr>
          <w:rFonts w:ascii="Century Gothic" w:eastAsia="Century Gothic" w:hAnsi="Century Gothic" w:cs="Century Gothic"/>
          <w:i/>
          <w:sz w:val="22"/>
          <w:szCs w:val="22"/>
        </w:rPr>
        <w:t>Emirates</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SkyCargo</w:t>
      </w:r>
      <w:proofErr w:type="spellEnd"/>
      <w:r>
        <w:rPr>
          <w:rFonts w:ascii="Century Gothic" w:eastAsia="Century Gothic" w:hAnsi="Century Gothic" w:cs="Century Gothic"/>
          <w:i/>
          <w:sz w:val="22"/>
          <w:szCs w:val="22"/>
        </w:rPr>
        <w:t xml:space="preserve">. A pesar de las continuas fluctuaciones del transporte aéreo de mercancías, las tendencias a largo plazo indican que el sector está creciendo a un ritmo de entre un 3 % y </w:t>
      </w:r>
      <w:proofErr w:type="gramStart"/>
      <w:r>
        <w:rPr>
          <w:rFonts w:ascii="Century Gothic" w:eastAsia="Century Gothic" w:hAnsi="Century Gothic" w:cs="Century Gothic"/>
          <w:i/>
          <w:sz w:val="22"/>
          <w:szCs w:val="22"/>
        </w:rPr>
        <w:t>un  5</w:t>
      </w:r>
      <w:proofErr w:type="gramEnd"/>
      <w:r>
        <w:rPr>
          <w:rFonts w:ascii="Century Gothic" w:eastAsia="Century Gothic" w:hAnsi="Century Gothic" w:cs="Century Gothic"/>
          <w:i/>
          <w:sz w:val="22"/>
          <w:szCs w:val="22"/>
        </w:rPr>
        <w:t xml:space="preserve"> % interanual. </w:t>
      </w:r>
      <w:proofErr w:type="spellStart"/>
      <w:r>
        <w:rPr>
          <w:rFonts w:ascii="Century Gothic" w:eastAsia="Century Gothic" w:hAnsi="Century Gothic" w:cs="Century Gothic"/>
          <w:i/>
          <w:sz w:val="22"/>
          <w:szCs w:val="22"/>
        </w:rPr>
        <w:t>Emirates</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SkyCargo</w:t>
      </w:r>
      <w:proofErr w:type="spellEnd"/>
      <w:r>
        <w:rPr>
          <w:rFonts w:ascii="Century Gothic" w:eastAsia="Century Gothic" w:hAnsi="Century Gothic" w:cs="Century Gothic"/>
          <w:i/>
          <w:sz w:val="22"/>
          <w:szCs w:val="22"/>
        </w:rPr>
        <w:t>, sin embargo, sigue superando el crecimiento del mercado, elevando más de 1.183.000 toneladas desde enero hasta mediados de diciembre, un sólido incremento del 7 % en comparación con el año pasado. Mirando hacia el futuro, estamos bien posicionados para ir aumentando constantemente las operaciones en 2024, continuando nuestro crecimiento estratégico para asegurar que lideramos la industria en soluciones que son rápidas, confiables, flexibles y eficientes".</w:t>
      </w:r>
    </w:p>
    <w:p w14:paraId="3C39D8D1"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 Llegar a todos los rincones del mundo</w:t>
      </w:r>
    </w:p>
    <w:p w14:paraId="123FA258"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línea con la Agenda Económica de Dubái (D33),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está trabajando para hacer crecer la posición de Dubái como el mayor centro logístico del mundo, </w:t>
      </w:r>
      <w:r>
        <w:rPr>
          <w:rFonts w:ascii="Century Gothic" w:eastAsia="Century Gothic" w:hAnsi="Century Gothic" w:cs="Century Gothic"/>
          <w:sz w:val="22"/>
          <w:szCs w:val="22"/>
        </w:rPr>
        <w:lastRenderedPageBreak/>
        <w:t xml:space="preserve">ampliando su flota y su red para servir mejor a los clientes globales. En el primer trimestre,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alquiló dos Boeing 747-400F, liberando espacio de carga adicional inmediato en respuesta a la elevada demanda de los clientes. Estos aviones se unen a su flota de 11 Boeing 777F y 251 aviones de pasajeros.</w:t>
      </w:r>
    </w:p>
    <w:p w14:paraId="2E43CA55"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Se prevé una mayor expansión, con cuatro nuevos 777-200F en 2024 y un quinto avión en 2025. Este pedido se suma a los 310 aviones de pasajeros de fuselaje ancho que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tiene en cartera, y que supondrán la entrega de nuevos aviones y nueva capacidad de carga hasta 2035.</w:t>
      </w:r>
    </w:p>
    <w:p w14:paraId="79B5F9D7"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Apoyándose en su competitiva conectividad global,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amplió su alcance en Canadá y Norteamérica a través de una cooperación estratégica interlínea con Air </w:t>
      </w:r>
      <w:proofErr w:type="spellStart"/>
      <w:r>
        <w:rPr>
          <w:rFonts w:ascii="Century Gothic" w:eastAsia="Century Gothic" w:hAnsi="Century Gothic" w:cs="Century Gothic"/>
          <w:sz w:val="22"/>
          <w:szCs w:val="22"/>
        </w:rPr>
        <w:t>Canada</w:t>
      </w:r>
      <w:proofErr w:type="spellEnd"/>
      <w:r>
        <w:rPr>
          <w:rFonts w:ascii="Century Gothic" w:eastAsia="Century Gothic" w:hAnsi="Century Gothic" w:cs="Century Gothic"/>
          <w:sz w:val="22"/>
          <w:szCs w:val="22"/>
        </w:rPr>
        <w:t xml:space="preserve"> Cargo. Los clientes pueden ahora reservar envíos que viajarán en vuelos de Air </w:t>
      </w:r>
      <w:proofErr w:type="spellStart"/>
      <w:r>
        <w:rPr>
          <w:rFonts w:ascii="Century Gothic" w:eastAsia="Century Gothic" w:hAnsi="Century Gothic" w:cs="Century Gothic"/>
          <w:sz w:val="22"/>
          <w:szCs w:val="22"/>
        </w:rPr>
        <w:t>Canada</w:t>
      </w:r>
      <w:proofErr w:type="spellEnd"/>
      <w:r>
        <w:rPr>
          <w:rFonts w:ascii="Century Gothic" w:eastAsia="Century Gothic" w:hAnsi="Century Gothic" w:cs="Century Gothic"/>
          <w:sz w:val="22"/>
          <w:szCs w:val="22"/>
        </w:rPr>
        <w:t xml:space="preserve"> Cargo a través de e-</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ampliando el alcance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a más de 60 ciudades en Canadá y más de 150 ciudades en todo el mundo.</w:t>
      </w:r>
    </w:p>
    <w:p w14:paraId="553E9A93"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Cartera de productos en constante evolución</w:t>
      </w:r>
    </w:p>
    <w:p w14:paraId="5DBCE1C7"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mayo,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reforzó su cartera de productos multi verticales con el lanzamiento de dos nuevos productos a medida dentro de su nicho de Ciencias de la Vida y Sanidad. Para hacer frente a los retos específicos del transporte en el sector sanitario,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Vital es un producto especializado diseñado para transportar ensayos clínicos, terapias celulares y genéticas, y muestras humanas, mientras que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Medical </w:t>
      </w:r>
      <w:proofErr w:type="spellStart"/>
      <w:r>
        <w:rPr>
          <w:rFonts w:ascii="Century Gothic" w:eastAsia="Century Gothic" w:hAnsi="Century Gothic" w:cs="Century Gothic"/>
          <w:sz w:val="22"/>
          <w:szCs w:val="22"/>
        </w:rPr>
        <w:t>Devices</w:t>
      </w:r>
      <w:proofErr w:type="spellEnd"/>
      <w:r>
        <w:rPr>
          <w:rFonts w:ascii="Century Gothic" w:eastAsia="Century Gothic" w:hAnsi="Century Gothic" w:cs="Century Gothic"/>
          <w:sz w:val="22"/>
          <w:szCs w:val="22"/>
        </w:rPr>
        <w:t xml:space="preserve"> permite transportar desde marcapasos hasta resonancias magnéticas, siguiendo las especificaciones del PIB. Desde su lanzamiento,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ha transportado casi 1.000 toneladas de carga altamente sensible, utilizando sólo estos dos productos.</w:t>
      </w:r>
    </w:p>
    <w:p w14:paraId="322E6A1B"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Delivers</w:t>
      </w:r>
      <w:proofErr w:type="spellEnd"/>
      <w:r>
        <w:rPr>
          <w:rFonts w:ascii="Century Gothic" w:eastAsia="Century Gothic" w:hAnsi="Century Gothic" w:cs="Century Gothic"/>
          <w:sz w:val="22"/>
          <w:szCs w:val="22"/>
        </w:rPr>
        <w:t xml:space="preserve"> amplió sus operaciones a Kuwait, ofreciendo entregas internacionales puerta a puerta de artículos comprados en el Reino Unido y Estados Unidos a compradores expertos en comercio electrónico. Reconociendo la oportunidad en la región más amplia de Oriente Medio, que anteriormente ha estado desatendida en lo </w:t>
      </w:r>
      <w:r>
        <w:rPr>
          <w:rFonts w:ascii="Century Gothic" w:eastAsia="Century Gothic" w:hAnsi="Century Gothic" w:cs="Century Gothic"/>
          <w:sz w:val="22"/>
          <w:szCs w:val="22"/>
        </w:rPr>
        <w:lastRenderedPageBreak/>
        <w:t xml:space="preserve">que se refiere a envíos de comercio electrónico,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Delivers</w:t>
      </w:r>
      <w:proofErr w:type="spellEnd"/>
      <w:r>
        <w:rPr>
          <w:rFonts w:ascii="Century Gothic" w:eastAsia="Century Gothic" w:hAnsi="Century Gothic" w:cs="Century Gothic"/>
          <w:sz w:val="22"/>
          <w:szCs w:val="22"/>
        </w:rPr>
        <w:t xml:space="preserve"> se está preparando para escalar significativamente en 2024, ofreciendo soluciones de entrega rápidas, fiables y rentables.</w:t>
      </w:r>
    </w:p>
    <w:p w14:paraId="39A96D58"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Avanzar en la estrategia de digitalización</w:t>
      </w:r>
    </w:p>
    <w:p w14:paraId="33D49326"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lo largo de 2023,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ayudó a configurar el panorama digital de las operaciones de carga. Además de su propia plataforma de reservas en línea en e-</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la capacidad de la aerolínea ya está disponible en dos de los mayores mercados digitales, </w:t>
      </w:r>
      <w:proofErr w:type="spellStart"/>
      <w:r>
        <w:rPr>
          <w:rFonts w:ascii="Century Gothic" w:eastAsia="Century Gothic" w:hAnsi="Century Gothic" w:cs="Century Gothic"/>
          <w:sz w:val="22"/>
          <w:szCs w:val="22"/>
        </w:rPr>
        <w:t>CargoAi</w:t>
      </w:r>
      <w:proofErr w:type="spellEnd"/>
      <w:r>
        <w:rPr>
          <w:rFonts w:ascii="Century Gothic" w:eastAsia="Century Gothic" w:hAnsi="Century Gothic" w:cs="Century Gothic"/>
          <w:sz w:val="22"/>
          <w:szCs w:val="22"/>
        </w:rPr>
        <w:t xml:space="preserve"> y </w:t>
      </w:r>
      <w:proofErr w:type="spellStart"/>
      <w:r>
        <w:rPr>
          <w:rFonts w:ascii="Century Gothic" w:eastAsia="Century Gothic" w:hAnsi="Century Gothic" w:cs="Century Gothic"/>
          <w:sz w:val="22"/>
          <w:szCs w:val="22"/>
        </w:rPr>
        <w:t>WebCargo</w:t>
      </w:r>
      <w:proofErr w:type="spellEnd"/>
      <w:r>
        <w:rPr>
          <w:rFonts w:ascii="Century Gothic" w:eastAsia="Century Gothic" w:hAnsi="Century Gothic" w:cs="Century Gothic"/>
          <w:sz w:val="22"/>
          <w:szCs w:val="22"/>
        </w:rPr>
        <w:t xml:space="preserve">, con planes para ampliar aún más su huella digital a principios de 2024. En octubre,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lanzó una histórica conexión </w:t>
      </w:r>
      <w:r>
        <w:rPr>
          <w:rFonts w:ascii="Century Gothic" w:eastAsia="Century Gothic" w:hAnsi="Century Gothic" w:cs="Century Gothic"/>
          <w:i/>
          <w:sz w:val="22"/>
          <w:szCs w:val="22"/>
        </w:rPr>
        <w:t>host-</w:t>
      </w:r>
      <w:proofErr w:type="spellStart"/>
      <w:r>
        <w:rPr>
          <w:rFonts w:ascii="Century Gothic" w:eastAsia="Century Gothic" w:hAnsi="Century Gothic" w:cs="Century Gothic"/>
          <w:i/>
          <w:sz w:val="22"/>
          <w:szCs w:val="22"/>
        </w:rPr>
        <w:t>to</w:t>
      </w:r>
      <w:proofErr w:type="spellEnd"/>
      <w:r>
        <w:rPr>
          <w:rFonts w:ascii="Century Gothic" w:eastAsia="Century Gothic" w:hAnsi="Century Gothic" w:cs="Century Gothic"/>
          <w:i/>
          <w:sz w:val="22"/>
          <w:szCs w:val="22"/>
        </w:rPr>
        <w:t>-host</w:t>
      </w:r>
      <w:r>
        <w:rPr>
          <w:rFonts w:ascii="Century Gothic" w:eastAsia="Century Gothic" w:hAnsi="Century Gothic" w:cs="Century Gothic"/>
          <w:sz w:val="22"/>
          <w:szCs w:val="22"/>
        </w:rPr>
        <w:t xml:space="preserve"> con el transitario global </w:t>
      </w:r>
      <w:proofErr w:type="spellStart"/>
      <w:r>
        <w:rPr>
          <w:rFonts w:ascii="Century Gothic" w:eastAsia="Century Gothic" w:hAnsi="Century Gothic" w:cs="Century Gothic"/>
          <w:sz w:val="22"/>
          <w:szCs w:val="22"/>
        </w:rPr>
        <w:t>Kuehne+Nagel</w:t>
      </w:r>
      <w:proofErr w:type="spellEnd"/>
      <w:r>
        <w:rPr>
          <w:rFonts w:ascii="Century Gothic" w:eastAsia="Century Gothic" w:hAnsi="Century Gothic" w:cs="Century Gothic"/>
          <w:sz w:val="22"/>
          <w:szCs w:val="22"/>
        </w:rPr>
        <w:t xml:space="preserve">, proporcionando acceso directo a sus productos y servicios líderes en el mercado en el motor de reservas interno de </w:t>
      </w:r>
      <w:proofErr w:type="spellStart"/>
      <w:r>
        <w:rPr>
          <w:rFonts w:ascii="Century Gothic" w:eastAsia="Century Gothic" w:hAnsi="Century Gothic" w:cs="Century Gothic"/>
          <w:sz w:val="22"/>
          <w:szCs w:val="22"/>
        </w:rPr>
        <w:t>Kuehne+Nagel</w:t>
      </w:r>
      <w:proofErr w:type="spellEnd"/>
      <w:r>
        <w:rPr>
          <w:rFonts w:ascii="Century Gothic" w:eastAsia="Century Gothic" w:hAnsi="Century Gothic" w:cs="Century Gothic"/>
          <w:sz w:val="22"/>
          <w:szCs w:val="22"/>
        </w:rPr>
        <w:t>.</w:t>
      </w:r>
    </w:p>
    <w:p w14:paraId="7D1DEBE6"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Nuevo paraguas de marca</w:t>
      </w:r>
    </w:p>
    <w:p w14:paraId="7FEFC140"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Como reflejo de la amplia contribución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al comercio mundial, la aerolínea lanzó una nueva campaña que muestra cómo "El mundo funciona mejor con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Trastocando la publicidad tradicional del sector de la carga, centrada en la oferta universal,</w:t>
      </w:r>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The</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World</w:t>
      </w:r>
      <w:proofErr w:type="spellEnd"/>
      <w:r>
        <w:rPr>
          <w:rFonts w:ascii="Century Gothic" w:eastAsia="Century Gothic" w:hAnsi="Century Gothic" w:cs="Century Gothic"/>
          <w:i/>
          <w:sz w:val="22"/>
          <w:szCs w:val="22"/>
        </w:rPr>
        <w:t xml:space="preserve"> Works </w:t>
      </w:r>
      <w:proofErr w:type="spellStart"/>
      <w:r>
        <w:rPr>
          <w:rFonts w:ascii="Century Gothic" w:eastAsia="Century Gothic" w:hAnsi="Century Gothic" w:cs="Century Gothic"/>
          <w:i/>
          <w:sz w:val="22"/>
          <w:szCs w:val="22"/>
        </w:rPr>
        <w:t>Better</w:t>
      </w:r>
      <w:proofErr w:type="spellEnd"/>
      <w:r>
        <w:rPr>
          <w:rFonts w:ascii="Century Gothic" w:eastAsia="Century Gothic" w:hAnsi="Century Gothic" w:cs="Century Gothic"/>
          <w:sz w:val="22"/>
          <w:szCs w:val="22"/>
        </w:rPr>
        <w:t xml:space="preserve"> (El mundo funciona mejor) se ha convertido en el mantra por el que se rige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proporcionando un impacto tangible a personas y empresas de todo el mundo.</w:t>
      </w:r>
    </w:p>
    <w:p w14:paraId="2BD5A744"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Un salvavidas para las comunidades mundiales</w:t>
      </w:r>
    </w:p>
    <w:p w14:paraId="3E7EAEA6"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Comprometida a impulsar un impacto positivo en las comunidades a las que sirve en todo el mundo,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no es ajena a las misiones humanitarias. Tras los devastadores terremotos que asolaron Turquía y Siria en febrero,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en colaboración con la Ciudad Humanitaria Internacional (IHC), estableció rápidamente un puente aéreo a Estambul. Dedicando espacio de carga en su vuelo diario a Estambul durante un periodo de dos semanas,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e IHC garantizaron un flujo constante de suministros de emergencia a las ONG sobre el terreno.</w:t>
      </w:r>
    </w:p>
    <w:p w14:paraId="1CFEF312"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Operaciones más conscientes</w:t>
      </w:r>
    </w:p>
    <w:p w14:paraId="7BBFA811"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sigue centrándose en iniciativas sostenibles y medioambientales significativas que impulsen el impacto, tanto en sus propias operaciones como en todo el sector. Desde programas en tierra que garantizan el reciclaje del 75 % de las láminas de plástico en las instalaciones de la aerolínea en Dubái hasta la optimización del modo en que se cargan los aviones, las operaciones más respetuosas con el medio ambiente y la sostenibilidad seguirán siendo una prioridad para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hasta 2024 y más allá.</w:t>
      </w:r>
    </w:p>
    <w:p w14:paraId="029F8CAA"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agosto, el Grupo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obtuvo las certificaciones “IATA </w:t>
      </w:r>
      <w:proofErr w:type="spellStart"/>
      <w:r>
        <w:rPr>
          <w:rFonts w:ascii="Century Gothic" w:eastAsia="Century Gothic" w:hAnsi="Century Gothic" w:cs="Century Gothic"/>
          <w:sz w:val="22"/>
          <w:szCs w:val="22"/>
        </w:rPr>
        <w:t>Environmental</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Assessment</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IEnvA</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Stage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One</w:t>
      </w:r>
      <w:proofErr w:type="spellEnd"/>
      <w:r>
        <w:rPr>
          <w:rFonts w:ascii="Century Gothic" w:eastAsia="Century Gothic" w:hAnsi="Century Gothic" w:cs="Century Gothic"/>
          <w:sz w:val="22"/>
          <w:szCs w:val="22"/>
        </w:rPr>
        <w:t>” y el módulo “</w:t>
      </w:r>
      <w:proofErr w:type="spellStart"/>
      <w:r>
        <w:rPr>
          <w:rFonts w:ascii="Century Gothic" w:eastAsia="Century Gothic" w:hAnsi="Century Gothic" w:cs="Century Gothic"/>
          <w:sz w:val="22"/>
          <w:szCs w:val="22"/>
        </w:rPr>
        <w:t>IEnvA</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Illegal</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Wildlife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Trade</w:t>
      </w:r>
      <w:proofErr w:type="spellEnd"/>
      <w:r>
        <w:rPr>
          <w:rFonts w:ascii="Century Gothic" w:eastAsia="Century Gothic" w:hAnsi="Century Gothic" w:cs="Century Gothic"/>
          <w:sz w:val="22"/>
          <w:szCs w:val="22"/>
        </w:rPr>
        <w:t xml:space="preserve">”, un logro al que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contribuyó significativamente. La certificación, que ya es líder mundial en la prevención del tráfico ilegal de especies silvestres, es un reconocimiento del compromiso de toda la empresa con la adopción de medidas.</w:t>
      </w:r>
    </w:p>
    <w:p w14:paraId="3DE40C3B"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medida que 2023 se acerca a su fin,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no muestra signos de desaceleración. Reflejando su confianza en el futuro de la logística aérea, y para servir a sus clientes en un paisaje dinámico,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SkyCargo</w:t>
      </w:r>
      <w:proofErr w:type="spellEnd"/>
      <w:r>
        <w:rPr>
          <w:rFonts w:ascii="Century Gothic" w:eastAsia="Century Gothic" w:hAnsi="Century Gothic" w:cs="Century Gothic"/>
          <w:sz w:val="22"/>
          <w:szCs w:val="22"/>
        </w:rPr>
        <w:t xml:space="preserve"> ha establecido ambiciosos planes de crecimiento, incluyendo inversiones en capacidades digitales, añadiendo 20 nuevos destinos a su red de cargueros, y duplicando la capacidad existente durante la próxima década.</w:t>
      </w:r>
    </w:p>
    <w:p w14:paraId="70B60F4C" w14:textId="77777777" w:rsidR="003C11C9" w:rsidRDefault="003C11C9">
      <w:pPr>
        <w:pBdr>
          <w:top w:val="nil"/>
          <w:left w:val="nil"/>
          <w:bottom w:val="nil"/>
          <w:right w:val="nil"/>
          <w:between w:val="nil"/>
        </w:pBdr>
        <w:spacing w:before="280" w:line="360" w:lineRule="auto"/>
        <w:jc w:val="both"/>
        <w:rPr>
          <w:rFonts w:ascii="Century Gothic" w:eastAsia="Century Gothic" w:hAnsi="Century Gothic" w:cs="Century Gothic"/>
          <w:b/>
          <w:i/>
          <w:color w:val="000000"/>
          <w:sz w:val="18"/>
          <w:szCs w:val="18"/>
        </w:rPr>
      </w:pPr>
    </w:p>
    <w:p w14:paraId="1375BB9E"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b/>
          <w:i/>
          <w:color w:val="000000"/>
          <w:sz w:val="18"/>
          <w:szCs w:val="18"/>
        </w:rPr>
      </w:pPr>
      <w:r>
        <w:rPr>
          <w:rFonts w:ascii="Century Gothic" w:eastAsia="Century Gothic" w:hAnsi="Century Gothic" w:cs="Century Gothic"/>
          <w:b/>
          <w:i/>
          <w:color w:val="000000"/>
          <w:sz w:val="18"/>
          <w:szCs w:val="18"/>
        </w:rPr>
        <w:t xml:space="preserve">Acerca de </w:t>
      </w:r>
      <w:proofErr w:type="spellStart"/>
      <w:r>
        <w:rPr>
          <w:rFonts w:ascii="Century Gothic" w:eastAsia="Century Gothic" w:hAnsi="Century Gothic" w:cs="Century Gothic"/>
          <w:b/>
          <w:i/>
          <w:color w:val="000000"/>
          <w:sz w:val="18"/>
          <w:szCs w:val="18"/>
        </w:rPr>
        <w:t>Emirates</w:t>
      </w:r>
      <w:proofErr w:type="spellEnd"/>
      <w:r>
        <w:rPr>
          <w:rFonts w:ascii="Century Gothic" w:eastAsia="Century Gothic" w:hAnsi="Century Gothic" w:cs="Century Gothic"/>
          <w:b/>
          <w:i/>
          <w:color w:val="000000"/>
          <w:sz w:val="18"/>
          <w:szCs w:val="18"/>
        </w:rPr>
        <w:t xml:space="preserve"> </w:t>
      </w:r>
      <w:proofErr w:type="spellStart"/>
      <w:r>
        <w:rPr>
          <w:rFonts w:ascii="Century Gothic" w:eastAsia="Century Gothic" w:hAnsi="Century Gothic" w:cs="Century Gothic"/>
          <w:b/>
          <w:i/>
          <w:color w:val="000000"/>
          <w:sz w:val="18"/>
          <w:szCs w:val="18"/>
        </w:rPr>
        <w:t>SkyCargo</w:t>
      </w:r>
      <w:proofErr w:type="spellEnd"/>
    </w:p>
    <w:p w14:paraId="26AB4A2E"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SkyCargo</w:t>
      </w:r>
      <w:proofErr w:type="spellEnd"/>
      <w:r>
        <w:rPr>
          <w:rFonts w:ascii="Century Gothic" w:eastAsia="Century Gothic" w:hAnsi="Century Gothic" w:cs="Century Gothic"/>
          <w:sz w:val="18"/>
          <w:szCs w:val="18"/>
        </w:rPr>
        <w:t xml:space="preserve"> es la división de carga aérea de </w:t>
      </w: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A través de su moderno centro de operaciones en Dubái, </w:t>
      </w: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SkyCargo</w:t>
      </w:r>
      <w:proofErr w:type="spellEnd"/>
      <w:r>
        <w:rPr>
          <w:rFonts w:ascii="Century Gothic" w:eastAsia="Century Gothic" w:hAnsi="Century Gothic" w:cs="Century Gothic"/>
          <w:sz w:val="18"/>
          <w:szCs w:val="18"/>
        </w:rPr>
        <w:t xml:space="preserve"> transporta carga a 150 destinos en una red mundial que abarca seis continentes. La aerolínea ofrece a sus clientes capacidad de carga en su moderna flota de aviones Boeing 777 de fuselaje ancho, Airbus A380 y cargueros dedicados: 11 Boeing 777-F y 2 747-F.</w:t>
      </w:r>
    </w:p>
    <w:p w14:paraId="14499FE1" w14:textId="77777777" w:rsidR="003C11C9"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Opera dos terminales de carga de última generación en su centro de operaciones de Dubái, que ofrecen tiempos de tránsito de tan sólo tres horas. Las terminales ofrecen una capacidad total de carga de alrededor de un millón de toneladas al año, con la posibilidad de aumentarla a 1,3 millones de toneladas.</w:t>
      </w:r>
    </w:p>
    <w:p w14:paraId="6787340E" w14:textId="77777777" w:rsidR="003C11C9" w:rsidRDefault="003C11C9">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48E4FB91" w14:textId="77777777" w:rsidR="003C11C9" w:rsidRDefault="003C11C9">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1393B488" w14:textId="77777777" w:rsidR="003C11C9" w:rsidRDefault="003C11C9">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3C11C9">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656BA" w14:textId="77777777" w:rsidR="0099201C" w:rsidRDefault="0099201C">
      <w:r>
        <w:separator/>
      </w:r>
    </w:p>
  </w:endnote>
  <w:endnote w:type="continuationSeparator" w:id="0">
    <w:p w14:paraId="0C5EC015" w14:textId="77777777" w:rsidR="0099201C" w:rsidRDefault="0099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altName w:val="Cambria"/>
    <w:panose1 w:val="02040503050406030204"/>
    <w:charset w:val="01"/>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FFDA1" w14:textId="77777777" w:rsidR="0099201C" w:rsidRDefault="0099201C">
      <w:r>
        <w:separator/>
      </w:r>
    </w:p>
  </w:footnote>
  <w:footnote w:type="continuationSeparator" w:id="0">
    <w:p w14:paraId="3C87171D" w14:textId="77777777" w:rsidR="0099201C" w:rsidRDefault="0099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5906" w14:textId="77777777" w:rsidR="003C11C9"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319D6583" wp14:editId="7E4C26BB">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4F4A1D1C" w14:textId="77777777" w:rsidR="003C11C9" w:rsidRDefault="003C11C9">
    <w:pPr>
      <w:pBdr>
        <w:top w:val="nil"/>
        <w:left w:val="nil"/>
        <w:bottom w:val="nil"/>
        <w:right w:val="nil"/>
        <w:between w:val="nil"/>
      </w:pBdr>
      <w:tabs>
        <w:tab w:val="right" w:pos="8478"/>
      </w:tabs>
      <w:spacing w:after="200"/>
      <w:rPr>
        <w:rFonts w:ascii="Cambria" w:eastAsia="Cambria" w:hAnsi="Cambria" w:cs="Cambria"/>
        <w:color w:val="000000"/>
      </w:rPr>
    </w:pPr>
  </w:p>
  <w:p w14:paraId="694BA485" w14:textId="77777777" w:rsidR="003C11C9" w:rsidRDefault="003C11C9">
    <w:pPr>
      <w:pBdr>
        <w:top w:val="nil"/>
        <w:left w:val="nil"/>
        <w:bottom w:val="nil"/>
        <w:right w:val="nil"/>
        <w:between w:val="nil"/>
      </w:pBdr>
      <w:tabs>
        <w:tab w:val="right" w:pos="8478"/>
      </w:tabs>
      <w:spacing w:after="200"/>
      <w:rPr>
        <w:rFonts w:ascii="Cambria" w:eastAsia="Cambria" w:hAnsi="Cambria" w:cs="Cambria"/>
        <w:color w:val="000000"/>
      </w:rPr>
    </w:pPr>
  </w:p>
  <w:p w14:paraId="15F36AFE" w14:textId="77777777" w:rsidR="003C11C9" w:rsidRDefault="003C11C9">
    <w:pPr>
      <w:pBdr>
        <w:top w:val="nil"/>
        <w:left w:val="nil"/>
        <w:bottom w:val="nil"/>
        <w:right w:val="nil"/>
        <w:between w:val="nil"/>
      </w:pBdr>
      <w:tabs>
        <w:tab w:val="right" w:pos="8478"/>
      </w:tabs>
      <w:spacing w:after="200"/>
      <w:rPr>
        <w:rFonts w:ascii="Cambria" w:eastAsia="Cambria" w:hAnsi="Cambria" w:cs="Cambria"/>
        <w:color w:val="000000"/>
      </w:rPr>
    </w:pPr>
  </w:p>
  <w:p w14:paraId="365C6299" w14:textId="77777777" w:rsidR="003C11C9" w:rsidRDefault="003C11C9">
    <w:pPr>
      <w:pBdr>
        <w:top w:val="nil"/>
        <w:left w:val="nil"/>
        <w:bottom w:val="nil"/>
        <w:right w:val="nil"/>
        <w:between w:val="nil"/>
      </w:pBdr>
      <w:tabs>
        <w:tab w:val="right" w:pos="8478"/>
      </w:tabs>
      <w:spacing w:after="200"/>
      <w:rPr>
        <w:rFonts w:ascii="Cambria" w:eastAsia="Cambria" w:hAnsi="Cambria" w:cs="Cambria"/>
        <w:color w:val="000000"/>
      </w:rPr>
    </w:pPr>
  </w:p>
  <w:p w14:paraId="113F56A2" w14:textId="77777777" w:rsidR="003C11C9" w:rsidRDefault="003C11C9">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1C9"/>
    <w:rsid w:val="003C11C9"/>
    <w:rsid w:val="0099201C"/>
    <w:rsid w:val="00A67C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B9B358D"/>
  <w15:docId w15:val="{8501471D-7F51-5A49-B7AE-4878CD2A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6/gVGAA2Jmd2VFROMRaPI2NVbg==">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1227</Words>
  <Characters>6636</Characters>
  <Application>Microsoft Office Word</Application>
  <DocSecurity>0</DocSecurity>
  <Lines>112</Lines>
  <Paragraphs>28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2023-12-21T11:52:00Z</dcterms:created>
  <dcterms:modified xsi:type="dcterms:W3CDTF">2023-12-21T11:52:00Z</dcterms:modified>
  <cp:category/>
</cp:coreProperties>
</file>