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4D38"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9155262"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20648CD"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 xml:space="preserve">Sergat </w:t>
      </w:r>
    </w:p>
    <w:p w14:paraId="2623BA17"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Tel.: 93 414 02 10</w:t>
      </w:r>
    </w:p>
    <w:p w14:paraId="43A6C11F" w14:textId="77777777" w:rsidR="00EC7343" w:rsidRPr="00581370" w:rsidRDefault="00CA3AA5">
      <w:pPr>
        <w:pBdr>
          <w:top w:val="nil"/>
          <w:left w:val="nil"/>
          <w:bottom w:val="nil"/>
          <w:right w:val="nil"/>
          <w:between w:val="nil"/>
        </w:pBdr>
        <w:spacing w:line="360" w:lineRule="auto"/>
        <w:jc w:val="both"/>
        <w:rPr>
          <w:rFonts w:ascii="Cambria" w:eastAsia="Cambria" w:hAnsi="Cambria" w:cs="Cambria"/>
          <w:color w:val="000000"/>
        </w:rPr>
      </w:pPr>
      <w:r w:rsidRPr="00581370">
        <w:rPr>
          <w:rFonts w:ascii="Century Gothic" w:eastAsia="Century Gothic" w:hAnsi="Century Gothic" w:cs="Century Gothic"/>
          <w:color w:val="000000"/>
          <w:sz w:val="18"/>
          <w:szCs w:val="18"/>
        </w:rPr>
        <w:t xml:space="preserve">E-mail: </w:t>
      </w:r>
      <w:hyperlink r:id="rId7">
        <w:r w:rsidRPr="00581370">
          <w:rPr>
            <w:rFonts w:ascii="Century Gothic" w:eastAsia="Century Gothic" w:hAnsi="Century Gothic" w:cs="Century Gothic"/>
            <w:color w:val="006699"/>
            <w:sz w:val="18"/>
            <w:szCs w:val="18"/>
          </w:rPr>
          <w:t>prensa@sergat.com</w:t>
        </w:r>
      </w:hyperlink>
      <w:r w:rsidRPr="00581370">
        <w:rPr>
          <w:rFonts w:ascii="Century Gothic" w:eastAsia="Century Gothic" w:hAnsi="Century Gothic" w:cs="Century Gothic"/>
          <w:sz w:val="18"/>
          <w:szCs w:val="18"/>
        </w:rPr>
        <w:t xml:space="preserve"> </w:t>
      </w:r>
      <w:r w:rsidRPr="00581370">
        <w:rPr>
          <w:rFonts w:ascii="Century Gothic" w:eastAsia="Century Gothic" w:hAnsi="Century Gothic" w:cs="Century Gothic"/>
          <w:color w:val="000000"/>
          <w:sz w:val="18"/>
          <w:szCs w:val="18"/>
        </w:rPr>
        <w:t xml:space="preserve"> </w:t>
      </w:r>
      <w:r w:rsidRPr="00581370">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EC7343" w:rsidRPr="00F0102D" w14:paraId="44796E8E" w14:textId="77777777">
        <w:trPr>
          <w:jc w:val="center"/>
        </w:trPr>
        <w:tc>
          <w:tcPr>
            <w:tcW w:w="5775" w:type="dxa"/>
            <w:vAlign w:val="center"/>
          </w:tcPr>
          <w:p w14:paraId="6F4BA803" w14:textId="77777777" w:rsidR="00EC7343" w:rsidRPr="00581370" w:rsidRDefault="00EC7343" w:rsidP="00F2678C">
            <w:pPr>
              <w:jc w:val="center"/>
              <w:rPr>
                <w:sz w:val="20"/>
                <w:szCs w:val="20"/>
              </w:rPr>
            </w:pPr>
          </w:p>
        </w:tc>
      </w:tr>
    </w:tbl>
    <w:p w14:paraId="41999DCE" w14:textId="4E8C562E" w:rsidR="000D6774" w:rsidRDefault="000D6774" w:rsidP="00467FC0">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sidRPr="000D6774">
        <w:rPr>
          <w:rFonts w:ascii="Century Gothic" w:eastAsia="Century Gothic" w:hAnsi="Century Gothic" w:cs="Century Gothic"/>
          <w:b/>
        </w:rPr>
        <w:t>Emirates</w:t>
      </w:r>
      <w:proofErr w:type="spellEnd"/>
      <w:r w:rsidRPr="000D6774">
        <w:rPr>
          <w:rFonts w:ascii="Century Gothic" w:eastAsia="Century Gothic" w:hAnsi="Century Gothic" w:cs="Century Gothic"/>
          <w:b/>
        </w:rPr>
        <w:t xml:space="preserve"> presenta una carta de </w:t>
      </w:r>
      <w:r w:rsidRPr="00A807F6">
        <w:rPr>
          <w:rFonts w:ascii="Century Gothic" w:eastAsia="Century Gothic" w:hAnsi="Century Gothic" w:cs="Century Gothic"/>
          <w:b/>
        </w:rPr>
        <w:t xml:space="preserve">vinos de primera </w:t>
      </w:r>
      <w:r w:rsidR="004B267A" w:rsidRPr="00A807F6">
        <w:rPr>
          <w:rFonts w:ascii="Century Gothic" w:eastAsia="Century Gothic" w:hAnsi="Century Gothic" w:cs="Century Gothic"/>
          <w:b/>
        </w:rPr>
        <w:t>calidad</w:t>
      </w:r>
      <w:r w:rsidRPr="00A807F6">
        <w:rPr>
          <w:rFonts w:ascii="Century Gothic" w:eastAsia="Century Gothic" w:hAnsi="Century Gothic" w:cs="Century Gothic"/>
          <w:b/>
        </w:rPr>
        <w:t xml:space="preserve"> para 2024</w:t>
      </w:r>
    </w:p>
    <w:p w14:paraId="033D8BFB" w14:textId="27ADD711" w:rsidR="000D6774" w:rsidRPr="00192ACC" w:rsidRDefault="00192ACC" w:rsidP="00192ACC">
      <w:pPr>
        <w:pBdr>
          <w:top w:val="nil"/>
          <w:left w:val="nil"/>
          <w:bottom w:val="nil"/>
          <w:right w:val="nil"/>
          <w:between w:val="nil"/>
        </w:pBdr>
        <w:spacing w:before="280" w:line="360" w:lineRule="auto"/>
        <w:jc w:val="center"/>
        <w:rPr>
          <w:rFonts w:ascii="Century Gothic" w:eastAsia="Century Gothic" w:hAnsi="Century Gothic" w:cs="Century Gothic"/>
          <w:bCs/>
          <w:i/>
          <w:iCs/>
          <w:sz w:val="22"/>
          <w:szCs w:val="22"/>
        </w:rPr>
      </w:pPr>
      <w:r w:rsidRPr="00192ACC">
        <w:rPr>
          <w:rFonts w:ascii="Century Gothic" w:eastAsia="Century Gothic" w:hAnsi="Century Gothic" w:cs="Century Gothic"/>
          <w:bCs/>
          <w:i/>
          <w:iCs/>
          <w:sz w:val="22"/>
          <w:szCs w:val="22"/>
        </w:rPr>
        <w:t xml:space="preserve">La compañía incluye un destacado vino de España, el “Pesquera Reserva 2019” (D.O. Ribera del Duero) en su carta para pasajeros </w:t>
      </w:r>
      <w:r>
        <w:rPr>
          <w:rFonts w:ascii="Century Gothic" w:eastAsia="Century Gothic" w:hAnsi="Century Gothic" w:cs="Century Gothic"/>
          <w:bCs/>
          <w:i/>
          <w:iCs/>
          <w:sz w:val="22"/>
          <w:szCs w:val="22"/>
        </w:rPr>
        <w:t xml:space="preserve">de Business </w:t>
      </w:r>
      <w:proofErr w:type="spellStart"/>
      <w:r>
        <w:rPr>
          <w:rFonts w:ascii="Century Gothic" w:eastAsia="Century Gothic" w:hAnsi="Century Gothic" w:cs="Century Gothic"/>
          <w:bCs/>
          <w:i/>
          <w:iCs/>
          <w:sz w:val="22"/>
          <w:szCs w:val="22"/>
        </w:rPr>
        <w:t>Class</w:t>
      </w:r>
      <w:proofErr w:type="spellEnd"/>
    </w:p>
    <w:p w14:paraId="0CC39B3E" w14:textId="1644E1D6" w:rsidR="000D6774" w:rsidRPr="000D6774" w:rsidRDefault="00BF4F73" w:rsidP="000D677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4F73">
        <w:rPr>
          <w:rFonts w:ascii="Century Gothic" w:eastAsia="Century Gothic" w:hAnsi="Century Gothic" w:cs="Century Gothic"/>
          <w:b/>
          <w:sz w:val="22"/>
          <w:szCs w:val="22"/>
        </w:rPr>
        <w:t>Dub</w:t>
      </w:r>
      <w:r w:rsidR="002A73B2">
        <w:rPr>
          <w:rFonts w:ascii="Century Gothic" w:eastAsia="Century Gothic" w:hAnsi="Century Gothic" w:cs="Century Gothic"/>
          <w:b/>
          <w:sz w:val="22"/>
          <w:szCs w:val="22"/>
        </w:rPr>
        <w:t>á</w:t>
      </w:r>
      <w:r w:rsidRPr="00BF4F73">
        <w:rPr>
          <w:rFonts w:ascii="Century Gothic" w:eastAsia="Century Gothic" w:hAnsi="Century Gothic" w:cs="Century Gothic"/>
          <w:b/>
          <w:sz w:val="22"/>
          <w:szCs w:val="22"/>
        </w:rPr>
        <w:t>i</w:t>
      </w:r>
      <w:r w:rsidR="00192ACC">
        <w:rPr>
          <w:rFonts w:ascii="Century Gothic" w:eastAsia="Century Gothic" w:hAnsi="Century Gothic" w:cs="Century Gothic"/>
          <w:b/>
          <w:sz w:val="22"/>
          <w:szCs w:val="22"/>
        </w:rPr>
        <w:t xml:space="preserve">, 12 </w:t>
      </w:r>
      <w:r w:rsidRPr="00BF4F73">
        <w:rPr>
          <w:rFonts w:ascii="Century Gothic" w:eastAsia="Century Gothic" w:hAnsi="Century Gothic" w:cs="Century Gothic"/>
          <w:b/>
          <w:sz w:val="22"/>
          <w:szCs w:val="22"/>
        </w:rPr>
        <w:t xml:space="preserve">de </w:t>
      </w:r>
      <w:r w:rsidR="00DF571C">
        <w:rPr>
          <w:rFonts w:ascii="Century Gothic" w:eastAsia="Century Gothic" w:hAnsi="Century Gothic" w:cs="Century Gothic"/>
          <w:b/>
          <w:sz w:val="22"/>
          <w:szCs w:val="22"/>
        </w:rPr>
        <w:t>diciembre</w:t>
      </w:r>
      <w:r w:rsidRPr="00BF4F73">
        <w:rPr>
          <w:rFonts w:ascii="Century Gothic" w:eastAsia="Century Gothic" w:hAnsi="Century Gothic" w:cs="Century Gothic"/>
          <w:b/>
          <w:sz w:val="22"/>
          <w:szCs w:val="22"/>
        </w:rPr>
        <w:t xml:space="preserve"> de 2023:</w:t>
      </w:r>
      <w:r w:rsidR="00722030" w:rsidRPr="00722030">
        <w:t xml:space="preserve"> </w:t>
      </w:r>
      <w:proofErr w:type="spellStart"/>
      <w:r w:rsidR="000D6774" w:rsidRPr="000D6774">
        <w:rPr>
          <w:rFonts w:ascii="Century Gothic" w:eastAsia="Century Gothic" w:hAnsi="Century Gothic" w:cs="Century Gothic"/>
          <w:sz w:val="22"/>
          <w:szCs w:val="22"/>
        </w:rPr>
        <w:t>Emirates</w:t>
      </w:r>
      <w:proofErr w:type="spellEnd"/>
      <w:r w:rsidR="000D6774" w:rsidRPr="000D6774">
        <w:rPr>
          <w:rFonts w:ascii="Century Gothic" w:eastAsia="Century Gothic" w:hAnsi="Century Gothic" w:cs="Century Gothic"/>
          <w:sz w:val="22"/>
          <w:szCs w:val="22"/>
        </w:rPr>
        <w:t xml:space="preserve"> presenta este mes una nueva </w:t>
      </w:r>
      <w:r w:rsidR="00192ACC">
        <w:rPr>
          <w:rFonts w:ascii="Century Gothic" w:eastAsia="Century Gothic" w:hAnsi="Century Gothic" w:cs="Century Gothic"/>
          <w:sz w:val="22"/>
          <w:szCs w:val="22"/>
        </w:rPr>
        <w:t xml:space="preserve">oferta </w:t>
      </w:r>
      <w:r w:rsidR="000D6774" w:rsidRPr="000D6774">
        <w:rPr>
          <w:rFonts w:ascii="Century Gothic" w:eastAsia="Century Gothic" w:hAnsi="Century Gothic" w:cs="Century Gothic"/>
          <w:sz w:val="22"/>
          <w:szCs w:val="22"/>
        </w:rPr>
        <w:t>de vinos excepcionales a bordo de sus vuelos internacionales</w:t>
      </w:r>
      <w:r w:rsidR="00A807F6">
        <w:rPr>
          <w:rFonts w:ascii="Century Gothic" w:eastAsia="Century Gothic" w:hAnsi="Century Gothic" w:cs="Century Gothic"/>
          <w:sz w:val="22"/>
          <w:szCs w:val="22"/>
        </w:rPr>
        <w:t xml:space="preserve">, </w:t>
      </w:r>
      <w:r w:rsidR="000D6774" w:rsidRPr="000D6774">
        <w:rPr>
          <w:rFonts w:ascii="Century Gothic" w:eastAsia="Century Gothic" w:hAnsi="Century Gothic" w:cs="Century Gothic"/>
          <w:sz w:val="22"/>
          <w:szCs w:val="22"/>
        </w:rPr>
        <w:t xml:space="preserve">Como parte de una inversión continua y </w:t>
      </w:r>
      <w:r w:rsidR="00192ACC">
        <w:rPr>
          <w:rFonts w:ascii="Century Gothic" w:eastAsia="Century Gothic" w:hAnsi="Century Gothic" w:cs="Century Gothic"/>
          <w:sz w:val="22"/>
          <w:szCs w:val="22"/>
        </w:rPr>
        <w:t>centrada</w:t>
      </w:r>
      <w:r w:rsidR="000D6774" w:rsidRPr="000D6774">
        <w:rPr>
          <w:rFonts w:ascii="Century Gothic" w:eastAsia="Century Gothic" w:hAnsi="Century Gothic" w:cs="Century Gothic"/>
          <w:sz w:val="22"/>
          <w:szCs w:val="22"/>
        </w:rPr>
        <w:t xml:space="preserve"> en la experiencia a bordo, </w:t>
      </w:r>
      <w:proofErr w:type="spellStart"/>
      <w:r w:rsidR="000D6774" w:rsidRPr="000D6774">
        <w:rPr>
          <w:rFonts w:ascii="Century Gothic" w:eastAsia="Century Gothic" w:hAnsi="Century Gothic" w:cs="Century Gothic"/>
          <w:sz w:val="22"/>
          <w:szCs w:val="22"/>
        </w:rPr>
        <w:t>Emirates</w:t>
      </w:r>
      <w:proofErr w:type="spellEnd"/>
      <w:r w:rsidR="000D6774" w:rsidRPr="000D6774">
        <w:rPr>
          <w:rFonts w:ascii="Century Gothic" w:eastAsia="Century Gothic" w:hAnsi="Century Gothic" w:cs="Century Gothic"/>
          <w:sz w:val="22"/>
          <w:szCs w:val="22"/>
        </w:rPr>
        <w:t xml:space="preserve"> cuenta con la bodega de vinos más extensa de todas las aerolíneas: instalaciones dedicadas en Francia que actualmente albergan alrededor de 6 millones de botellas de vino, algunas de las cuales no se servirán hasta 2037.</w:t>
      </w:r>
    </w:p>
    <w:p w14:paraId="47273FF6" w14:textId="77777777" w:rsidR="000D6774" w:rsidRPr="000D6774" w:rsidRDefault="000D6774" w:rsidP="000D6774">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0D6774">
        <w:rPr>
          <w:rFonts w:ascii="Century Gothic" w:eastAsia="Century Gothic" w:hAnsi="Century Gothic" w:cs="Century Gothic"/>
          <w:b/>
          <w:bCs/>
          <w:sz w:val="22"/>
          <w:szCs w:val="22"/>
        </w:rPr>
        <w:t xml:space="preserve">Nuevos vinos a bordo de </w:t>
      </w:r>
      <w:proofErr w:type="spellStart"/>
      <w:r w:rsidRPr="000D6774">
        <w:rPr>
          <w:rFonts w:ascii="Century Gothic" w:eastAsia="Century Gothic" w:hAnsi="Century Gothic" w:cs="Century Gothic"/>
          <w:b/>
          <w:bCs/>
          <w:sz w:val="22"/>
          <w:szCs w:val="22"/>
        </w:rPr>
        <w:t>Emirates</w:t>
      </w:r>
      <w:proofErr w:type="spellEnd"/>
    </w:p>
    <w:p w14:paraId="36AD08E6" w14:textId="282E6ED6" w:rsidR="000D6774" w:rsidRPr="000D6774" w:rsidRDefault="000D6774" w:rsidP="000D677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D6774">
        <w:rPr>
          <w:rFonts w:ascii="Century Gothic" w:eastAsia="Century Gothic" w:hAnsi="Century Gothic" w:cs="Century Gothic"/>
          <w:sz w:val="22"/>
          <w:szCs w:val="22"/>
        </w:rPr>
        <w:t xml:space="preserve">En los próximos meses, </w:t>
      </w:r>
      <w:proofErr w:type="spellStart"/>
      <w:r w:rsidRPr="000D6774">
        <w:rPr>
          <w:rFonts w:ascii="Century Gothic" w:eastAsia="Century Gothic" w:hAnsi="Century Gothic" w:cs="Century Gothic"/>
          <w:sz w:val="22"/>
          <w:szCs w:val="22"/>
        </w:rPr>
        <w:t>Emirates</w:t>
      </w:r>
      <w:proofErr w:type="spellEnd"/>
      <w:r w:rsidRPr="000D6774">
        <w:rPr>
          <w:rFonts w:ascii="Century Gothic" w:eastAsia="Century Gothic" w:hAnsi="Century Gothic" w:cs="Century Gothic"/>
          <w:sz w:val="22"/>
          <w:szCs w:val="22"/>
        </w:rPr>
        <w:t xml:space="preserve"> introducirá una selección de los mejores vinos blancos de Borgoña, incluidos prestigiosos </w:t>
      </w:r>
      <w:r w:rsidRPr="000239CB">
        <w:rPr>
          <w:rFonts w:ascii="Century Gothic" w:eastAsia="Century Gothic" w:hAnsi="Century Gothic" w:cs="Century Gothic"/>
          <w:i/>
          <w:sz w:val="22"/>
          <w:szCs w:val="22"/>
        </w:rPr>
        <w:t>Premier</w:t>
      </w:r>
      <w:r w:rsidRPr="000D6774">
        <w:rPr>
          <w:rFonts w:ascii="Century Gothic" w:eastAsia="Century Gothic" w:hAnsi="Century Gothic" w:cs="Century Gothic"/>
          <w:sz w:val="22"/>
          <w:szCs w:val="22"/>
        </w:rPr>
        <w:t xml:space="preserve"> y </w:t>
      </w:r>
      <w:r w:rsidRPr="000239CB">
        <w:rPr>
          <w:rFonts w:ascii="Century Gothic" w:eastAsia="Century Gothic" w:hAnsi="Century Gothic" w:cs="Century Gothic"/>
          <w:i/>
          <w:sz w:val="22"/>
          <w:szCs w:val="22"/>
        </w:rPr>
        <w:t xml:space="preserve">Grand </w:t>
      </w:r>
      <w:proofErr w:type="spellStart"/>
      <w:r w:rsidRPr="000239CB">
        <w:rPr>
          <w:rFonts w:ascii="Century Gothic" w:eastAsia="Century Gothic" w:hAnsi="Century Gothic" w:cs="Century Gothic"/>
          <w:i/>
          <w:sz w:val="22"/>
          <w:szCs w:val="22"/>
        </w:rPr>
        <w:t>Crus</w:t>
      </w:r>
      <w:proofErr w:type="spellEnd"/>
      <w:r w:rsidRPr="000D6774">
        <w:rPr>
          <w:rFonts w:ascii="Century Gothic" w:eastAsia="Century Gothic" w:hAnsi="Century Gothic" w:cs="Century Gothic"/>
          <w:sz w:val="22"/>
          <w:szCs w:val="22"/>
        </w:rPr>
        <w:t xml:space="preserve"> como </w:t>
      </w:r>
      <w:r w:rsidR="000239CB">
        <w:rPr>
          <w:rFonts w:ascii="Century Gothic" w:eastAsia="Century Gothic" w:hAnsi="Century Gothic" w:cs="Century Gothic"/>
          <w:sz w:val="22"/>
          <w:szCs w:val="22"/>
        </w:rPr>
        <w:t>“</w:t>
      </w:r>
      <w:proofErr w:type="spellStart"/>
      <w:r w:rsidRPr="000D6774">
        <w:rPr>
          <w:rFonts w:ascii="Century Gothic" w:eastAsia="Century Gothic" w:hAnsi="Century Gothic" w:cs="Century Gothic"/>
          <w:sz w:val="22"/>
          <w:szCs w:val="22"/>
        </w:rPr>
        <w:t>Montrachet</w:t>
      </w:r>
      <w:proofErr w:type="spellEnd"/>
      <w:r w:rsidRPr="000D6774">
        <w:rPr>
          <w:rFonts w:ascii="Century Gothic" w:eastAsia="Century Gothic" w:hAnsi="Century Gothic" w:cs="Century Gothic"/>
          <w:sz w:val="22"/>
          <w:szCs w:val="22"/>
        </w:rPr>
        <w:t xml:space="preserve"> 2011</w:t>
      </w:r>
      <w:r w:rsidR="000239CB">
        <w:rPr>
          <w:rFonts w:ascii="Century Gothic" w:eastAsia="Century Gothic" w:hAnsi="Century Gothic" w:cs="Century Gothic"/>
          <w:sz w:val="22"/>
          <w:szCs w:val="22"/>
        </w:rPr>
        <w:t>”</w:t>
      </w:r>
      <w:r w:rsidRPr="000D6774">
        <w:rPr>
          <w:rFonts w:ascii="Century Gothic" w:eastAsia="Century Gothic" w:hAnsi="Century Gothic" w:cs="Century Gothic"/>
          <w:sz w:val="22"/>
          <w:szCs w:val="22"/>
        </w:rPr>
        <w:t xml:space="preserve">, </w:t>
      </w:r>
      <w:r w:rsidR="000239CB">
        <w:rPr>
          <w:rFonts w:ascii="Century Gothic" w:eastAsia="Century Gothic" w:hAnsi="Century Gothic" w:cs="Century Gothic"/>
          <w:sz w:val="22"/>
          <w:szCs w:val="22"/>
        </w:rPr>
        <w:t>“</w:t>
      </w:r>
      <w:proofErr w:type="spellStart"/>
      <w:r w:rsidRPr="000D6774">
        <w:rPr>
          <w:rFonts w:ascii="Century Gothic" w:eastAsia="Century Gothic" w:hAnsi="Century Gothic" w:cs="Century Gothic"/>
          <w:sz w:val="22"/>
          <w:szCs w:val="22"/>
        </w:rPr>
        <w:t>Chevalier</w:t>
      </w:r>
      <w:proofErr w:type="spellEnd"/>
      <w:r w:rsidRPr="000D6774">
        <w:rPr>
          <w:rFonts w:ascii="Century Gothic" w:eastAsia="Century Gothic" w:hAnsi="Century Gothic" w:cs="Century Gothic"/>
          <w:sz w:val="22"/>
          <w:szCs w:val="22"/>
        </w:rPr>
        <w:t xml:space="preserve"> </w:t>
      </w:r>
      <w:proofErr w:type="spellStart"/>
      <w:r w:rsidRPr="000D6774">
        <w:rPr>
          <w:rFonts w:ascii="Century Gothic" w:eastAsia="Century Gothic" w:hAnsi="Century Gothic" w:cs="Century Gothic"/>
          <w:sz w:val="22"/>
          <w:szCs w:val="22"/>
        </w:rPr>
        <w:t>Montrachet</w:t>
      </w:r>
      <w:proofErr w:type="spellEnd"/>
      <w:r w:rsidRPr="000D6774">
        <w:rPr>
          <w:rFonts w:ascii="Century Gothic" w:eastAsia="Century Gothic" w:hAnsi="Century Gothic" w:cs="Century Gothic"/>
          <w:sz w:val="22"/>
          <w:szCs w:val="22"/>
        </w:rPr>
        <w:t xml:space="preserve"> 2013</w:t>
      </w:r>
      <w:r w:rsidR="000239CB">
        <w:rPr>
          <w:rFonts w:ascii="Century Gothic" w:eastAsia="Century Gothic" w:hAnsi="Century Gothic" w:cs="Century Gothic"/>
          <w:sz w:val="22"/>
          <w:szCs w:val="22"/>
        </w:rPr>
        <w:t>”</w:t>
      </w:r>
      <w:r w:rsidRPr="000D6774">
        <w:rPr>
          <w:rFonts w:ascii="Century Gothic" w:eastAsia="Century Gothic" w:hAnsi="Century Gothic" w:cs="Century Gothic"/>
          <w:sz w:val="22"/>
          <w:szCs w:val="22"/>
        </w:rPr>
        <w:t xml:space="preserve"> y </w:t>
      </w:r>
      <w:r w:rsidR="000239CB">
        <w:rPr>
          <w:rFonts w:ascii="Century Gothic" w:eastAsia="Century Gothic" w:hAnsi="Century Gothic" w:cs="Century Gothic"/>
          <w:sz w:val="22"/>
          <w:szCs w:val="22"/>
        </w:rPr>
        <w:t>“</w:t>
      </w:r>
      <w:proofErr w:type="spellStart"/>
      <w:r w:rsidRPr="000D6774">
        <w:rPr>
          <w:rFonts w:ascii="Century Gothic" w:eastAsia="Century Gothic" w:hAnsi="Century Gothic" w:cs="Century Gothic"/>
          <w:sz w:val="22"/>
          <w:szCs w:val="22"/>
        </w:rPr>
        <w:t>Corton</w:t>
      </w:r>
      <w:proofErr w:type="spellEnd"/>
      <w:r w:rsidRPr="000D6774">
        <w:rPr>
          <w:rFonts w:ascii="Century Gothic" w:eastAsia="Century Gothic" w:hAnsi="Century Gothic" w:cs="Century Gothic"/>
          <w:sz w:val="22"/>
          <w:szCs w:val="22"/>
        </w:rPr>
        <w:t xml:space="preserve"> </w:t>
      </w:r>
      <w:proofErr w:type="spellStart"/>
      <w:r w:rsidRPr="000D6774">
        <w:rPr>
          <w:rFonts w:ascii="Century Gothic" w:eastAsia="Century Gothic" w:hAnsi="Century Gothic" w:cs="Century Gothic"/>
          <w:sz w:val="22"/>
          <w:szCs w:val="22"/>
        </w:rPr>
        <w:t>Charlemagne</w:t>
      </w:r>
      <w:proofErr w:type="spellEnd"/>
      <w:r w:rsidRPr="000D6774">
        <w:rPr>
          <w:rFonts w:ascii="Century Gothic" w:eastAsia="Century Gothic" w:hAnsi="Century Gothic" w:cs="Century Gothic"/>
          <w:sz w:val="22"/>
          <w:szCs w:val="22"/>
        </w:rPr>
        <w:t xml:space="preserve"> 2014</w:t>
      </w:r>
      <w:r w:rsidR="000239CB">
        <w:rPr>
          <w:rFonts w:ascii="Century Gothic" w:eastAsia="Century Gothic" w:hAnsi="Century Gothic" w:cs="Century Gothic"/>
          <w:sz w:val="22"/>
          <w:szCs w:val="22"/>
        </w:rPr>
        <w:t>”</w:t>
      </w:r>
      <w:r w:rsidRPr="000D6774">
        <w:rPr>
          <w:rFonts w:ascii="Century Gothic" w:eastAsia="Century Gothic" w:hAnsi="Century Gothic" w:cs="Century Gothic"/>
          <w:sz w:val="22"/>
          <w:szCs w:val="22"/>
        </w:rPr>
        <w:t xml:space="preserve">, así como algunos excepcionales vinos tintos de Borgoña, principalmente </w:t>
      </w:r>
      <w:r w:rsidRPr="000239CB">
        <w:rPr>
          <w:rFonts w:ascii="Century Gothic" w:eastAsia="Century Gothic" w:hAnsi="Century Gothic" w:cs="Century Gothic"/>
          <w:i/>
          <w:sz w:val="22"/>
          <w:szCs w:val="22"/>
        </w:rPr>
        <w:t xml:space="preserve">Grand </w:t>
      </w:r>
      <w:proofErr w:type="spellStart"/>
      <w:r w:rsidRPr="000239CB">
        <w:rPr>
          <w:rFonts w:ascii="Century Gothic" w:eastAsia="Century Gothic" w:hAnsi="Century Gothic" w:cs="Century Gothic"/>
          <w:i/>
          <w:sz w:val="22"/>
          <w:szCs w:val="22"/>
        </w:rPr>
        <w:t>Crus</w:t>
      </w:r>
      <w:proofErr w:type="spellEnd"/>
      <w:r w:rsidRPr="000D6774">
        <w:rPr>
          <w:rFonts w:ascii="Century Gothic" w:eastAsia="Century Gothic" w:hAnsi="Century Gothic" w:cs="Century Gothic"/>
          <w:sz w:val="22"/>
          <w:szCs w:val="22"/>
        </w:rPr>
        <w:t xml:space="preserve"> como </w:t>
      </w:r>
      <w:r w:rsidR="000239CB">
        <w:rPr>
          <w:rFonts w:ascii="Century Gothic" w:eastAsia="Century Gothic" w:hAnsi="Century Gothic" w:cs="Century Gothic"/>
          <w:sz w:val="22"/>
          <w:szCs w:val="22"/>
        </w:rPr>
        <w:t>“</w:t>
      </w:r>
      <w:proofErr w:type="spellStart"/>
      <w:r w:rsidRPr="000D6774">
        <w:rPr>
          <w:rFonts w:ascii="Century Gothic" w:eastAsia="Century Gothic" w:hAnsi="Century Gothic" w:cs="Century Gothic"/>
          <w:sz w:val="22"/>
          <w:szCs w:val="22"/>
        </w:rPr>
        <w:t>Échezeaux</w:t>
      </w:r>
      <w:proofErr w:type="spellEnd"/>
      <w:r w:rsidR="000239CB">
        <w:rPr>
          <w:rFonts w:ascii="Century Gothic" w:eastAsia="Century Gothic" w:hAnsi="Century Gothic" w:cs="Century Gothic"/>
          <w:sz w:val="22"/>
          <w:szCs w:val="22"/>
        </w:rPr>
        <w:t>”</w:t>
      </w:r>
      <w:r w:rsidRPr="000D6774">
        <w:rPr>
          <w:rFonts w:ascii="Century Gothic" w:eastAsia="Century Gothic" w:hAnsi="Century Gothic" w:cs="Century Gothic"/>
          <w:sz w:val="22"/>
          <w:szCs w:val="22"/>
        </w:rPr>
        <w:t xml:space="preserve">, </w:t>
      </w:r>
      <w:r w:rsidR="000239CB">
        <w:rPr>
          <w:rFonts w:ascii="Century Gothic" w:eastAsia="Century Gothic" w:hAnsi="Century Gothic" w:cs="Century Gothic"/>
          <w:sz w:val="22"/>
          <w:szCs w:val="22"/>
        </w:rPr>
        <w:t>“</w:t>
      </w:r>
      <w:r w:rsidRPr="000D6774">
        <w:rPr>
          <w:rFonts w:ascii="Century Gothic" w:eastAsia="Century Gothic" w:hAnsi="Century Gothic" w:cs="Century Gothic"/>
          <w:sz w:val="22"/>
          <w:szCs w:val="22"/>
        </w:rPr>
        <w:t xml:space="preserve">Clos </w:t>
      </w:r>
      <w:proofErr w:type="spellStart"/>
      <w:r w:rsidRPr="000D6774">
        <w:rPr>
          <w:rFonts w:ascii="Century Gothic" w:eastAsia="Century Gothic" w:hAnsi="Century Gothic" w:cs="Century Gothic"/>
          <w:sz w:val="22"/>
          <w:szCs w:val="22"/>
        </w:rPr>
        <w:t>Vougeot</w:t>
      </w:r>
      <w:proofErr w:type="spellEnd"/>
      <w:r w:rsidR="000239CB">
        <w:rPr>
          <w:rFonts w:ascii="Century Gothic" w:eastAsia="Century Gothic" w:hAnsi="Century Gothic" w:cs="Century Gothic"/>
          <w:sz w:val="22"/>
          <w:szCs w:val="22"/>
        </w:rPr>
        <w:t>”</w:t>
      </w:r>
      <w:r w:rsidRPr="000D6774">
        <w:rPr>
          <w:rFonts w:ascii="Century Gothic" w:eastAsia="Century Gothic" w:hAnsi="Century Gothic" w:cs="Century Gothic"/>
          <w:sz w:val="22"/>
          <w:szCs w:val="22"/>
        </w:rPr>
        <w:t xml:space="preserve"> y </w:t>
      </w:r>
      <w:r w:rsidR="000239CB">
        <w:rPr>
          <w:rFonts w:ascii="Century Gothic" w:eastAsia="Century Gothic" w:hAnsi="Century Gothic" w:cs="Century Gothic"/>
          <w:sz w:val="22"/>
          <w:szCs w:val="22"/>
        </w:rPr>
        <w:t>“</w:t>
      </w:r>
      <w:proofErr w:type="spellStart"/>
      <w:r w:rsidRPr="000D6774">
        <w:rPr>
          <w:rFonts w:ascii="Century Gothic" w:eastAsia="Century Gothic" w:hAnsi="Century Gothic" w:cs="Century Gothic"/>
          <w:sz w:val="22"/>
          <w:szCs w:val="22"/>
        </w:rPr>
        <w:t>Chambertin</w:t>
      </w:r>
      <w:proofErr w:type="spellEnd"/>
      <w:r w:rsidR="000239CB">
        <w:rPr>
          <w:rFonts w:ascii="Century Gothic" w:eastAsia="Century Gothic" w:hAnsi="Century Gothic" w:cs="Century Gothic"/>
          <w:sz w:val="22"/>
          <w:szCs w:val="22"/>
        </w:rPr>
        <w:t>”</w:t>
      </w:r>
      <w:r w:rsidRPr="000D6774">
        <w:rPr>
          <w:rFonts w:ascii="Century Gothic" w:eastAsia="Century Gothic" w:hAnsi="Century Gothic" w:cs="Century Gothic"/>
          <w:sz w:val="22"/>
          <w:szCs w:val="22"/>
        </w:rPr>
        <w:t>.</w:t>
      </w:r>
    </w:p>
    <w:p w14:paraId="2612C97F" w14:textId="358B3CF1" w:rsidR="000D6774" w:rsidRPr="000D6774" w:rsidRDefault="000D6774" w:rsidP="000D677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0D6774">
        <w:rPr>
          <w:rFonts w:ascii="Century Gothic" w:eastAsia="Century Gothic" w:hAnsi="Century Gothic" w:cs="Century Gothic"/>
          <w:sz w:val="22"/>
          <w:szCs w:val="22"/>
        </w:rPr>
        <w:t>Emirates</w:t>
      </w:r>
      <w:proofErr w:type="spellEnd"/>
      <w:r w:rsidRPr="000D6774">
        <w:rPr>
          <w:rFonts w:ascii="Century Gothic" w:eastAsia="Century Gothic" w:hAnsi="Century Gothic" w:cs="Century Gothic"/>
          <w:sz w:val="22"/>
          <w:szCs w:val="22"/>
        </w:rPr>
        <w:t xml:space="preserve"> también tiene previsto introducir en los próximos años varios </w:t>
      </w:r>
      <w:proofErr w:type="spellStart"/>
      <w:r w:rsidRPr="004E6028">
        <w:rPr>
          <w:rFonts w:ascii="Century Gothic" w:eastAsia="Century Gothic" w:hAnsi="Century Gothic" w:cs="Century Gothic"/>
          <w:i/>
          <w:iCs/>
          <w:sz w:val="22"/>
          <w:szCs w:val="22"/>
        </w:rPr>
        <w:t>First</w:t>
      </w:r>
      <w:proofErr w:type="spellEnd"/>
      <w:r w:rsidRPr="004E6028">
        <w:rPr>
          <w:rFonts w:ascii="Century Gothic" w:eastAsia="Century Gothic" w:hAnsi="Century Gothic" w:cs="Century Gothic"/>
          <w:i/>
          <w:iCs/>
          <w:sz w:val="22"/>
          <w:szCs w:val="22"/>
        </w:rPr>
        <w:t xml:space="preserve"> </w:t>
      </w:r>
      <w:proofErr w:type="spellStart"/>
      <w:r w:rsidRPr="004E6028">
        <w:rPr>
          <w:rFonts w:ascii="Century Gothic" w:eastAsia="Century Gothic" w:hAnsi="Century Gothic" w:cs="Century Gothic"/>
          <w:i/>
          <w:iCs/>
          <w:sz w:val="22"/>
          <w:szCs w:val="22"/>
        </w:rPr>
        <w:t>Growth</w:t>
      </w:r>
      <w:proofErr w:type="spellEnd"/>
      <w:r w:rsidRPr="000D6774">
        <w:rPr>
          <w:rFonts w:ascii="Century Gothic" w:eastAsia="Century Gothic" w:hAnsi="Century Gothic" w:cs="Century Gothic"/>
          <w:sz w:val="22"/>
          <w:szCs w:val="22"/>
        </w:rPr>
        <w:t xml:space="preserve"> de Burdeos, procedentes de las renombradas fincas de </w:t>
      </w:r>
      <w:proofErr w:type="spellStart"/>
      <w:r w:rsidRPr="000D6774">
        <w:rPr>
          <w:rFonts w:ascii="Century Gothic" w:eastAsia="Century Gothic" w:hAnsi="Century Gothic" w:cs="Century Gothic"/>
          <w:sz w:val="22"/>
          <w:szCs w:val="22"/>
        </w:rPr>
        <w:t>Château</w:t>
      </w:r>
      <w:proofErr w:type="spellEnd"/>
      <w:r w:rsidRPr="000D6774">
        <w:rPr>
          <w:rFonts w:ascii="Century Gothic" w:eastAsia="Century Gothic" w:hAnsi="Century Gothic" w:cs="Century Gothic"/>
          <w:sz w:val="22"/>
          <w:szCs w:val="22"/>
        </w:rPr>
        <w:t xml:space="preserve"> </w:t>
      </w:r>
      <w:proofErr w:type="spellStart"/>
      <w:r w:rsidRPr="000D6774">
        <w:rPr>
          <w:rFonts w:ascii="Century Gothic" w:eastAsia="Century Gothic" w:hAnsi="Century Gothic" w:cs="Century Gothic"/>
          <w:sz w:val="22"/>
          <w:szCs w:val="22"/>
        </w:rPr>
        <w:t>Mouton</w:t>
      </w:r>
      <w:proofErr w:type="spellEnd"/>
      <w:r w:rsidRPr="000D6774">
        <w:rPr>
          <w:rFonts w:ascii="Century Gothic" w:eastAsia="Century Gothic" w:hAnsi="Century Gothic" w:cs="Century Gothic"/>
          <w:sz w:val="22"/>
          <w:szCs w:val="22"/>
        </w:rPr>
        <w:t xml:space="preserve">, </w:t>
      </w:r>
      <w:proofErr w:type="spellStart"/>
      <w:r w:rsidRPr="000D6774">
        <w:rPr>
          <w:rFonts w:ascii="Century Gothic" w:eastAsia="Century Gothic" w:hAnsi="Century Gothic" w:cs="Century Gothic"/>
          <w:sz w:val="22"/>
          <w:szCs w:val="22"/>
        </w:rPr>
        <w:t>Château</w:t>
      </w:r>
      <w:proofErr w:type="spellEnd"/>
      <w:r w:rsidRPr="000D6774">
        <w:rPr>
          <w:rFonts w:ascii="Century Gothic" w:eastAsia="Century Gothic" w:hAnsi="Century Gothic" w:cs="Century Gothic"/>
          <w:sz w:val="22"/>
          <w:szCs w:val="22"/>
        </w:rPr>
        <w:t xml:space="preserve"> </w:t>
      </w:r>
      <w:proofErr w:type="spellStart"/>
      <w:r w:rsidRPr="000D6774">
        <w:rPr>
          <w:rFonts w:ascii="Century Gothic" w:eastAsia="Century Gothic" w:hAnsi="Century Gothic" w:cs="Century Gothic"/>
          <w:sz w:val="22"/>
          <w:szCs w:val="22"/>
        </w:rPr>
        <w:t>Margaux</w:t>
      </w:r>
      <w:proofErr w:type="spellEnd"/>
      <w:r w:rsidRPr="000D6774">
        <w:rPr>
          <w:rFonts w:ascii="Century Gothic" w:eastAsia="Century Gothic" w:hAnsi="Century Gothic" w:cs="Century Gothic"/>
          <w:sz w:val="22"/>
          <w:szCs w:val="22"/>
        </w:rPr>
        <w:t xml:space="preserve">, </w:t>
      </w:r>
      <w:proofErr w:type="spellStart"/>
      <w:r w:rsidRPr="000D6774">
        <w:rPr>
          <w:rFonts w:ascii="Century Gothic" w:eastAsia="Century Gothic" w:hAnsi="Century Gothic" w:cs="Century Gothic"/>
          <w:sz w:val="22"/>
          <w:szCs w:val="22"/>
        </w:rPr>
        <w:t>Château</w:t>
      </w:r>
      <w:proofErr w:type="spellEnd"/>
      <w:r w:rsidRPr="000D6774">
        <w:rPr>
          <w:rFonts w:ascii="Century Gothic" w:eastAsia="Century Gothic" w:hAnsi="Century Gothic" w:cs="Century Gothic"/>
          <w:sz w:val="22"/>
          <w:szCs w:val="22"/>
        </w:rPr>
        <w:t xml:space="preserve"> </w:t>
      </w:r>
      <w:proofErr w:type="spellStart"/>
      <w:r w:rsidRPr="000D6774">
        <w:rPr>
          <w:rFonts w:ascii="Century Gothic" w:eastAsia="Century Gothic" w:hAnsi="Century Gothic" w:cs="Century Gothic"/>
          <w:sz w:val="22"/>
          <w:szCs w:val="22"/>
        </w:rPr>
        <w:t>Haut</w:t>
      </w:r>
      <w:proofErr w:type="spellEnd"/>
      <w:r w:rsidRPr="000D6774">
        <w:rPr>
          <w:rFonts w:ascii="Century Gothic" w:eastAsia="Century Gothic" w:hAnsi="Century Gothic" w:cs="Century Gothic"/>
          <w:sz w:val="22"/>
          <w:szCs w:val="22"/>
        </w:rPr>
        <w:t xml:space="preserve">-Brion, </w:t>
      </w:r>
      <w:proofErr w:type="spellStart"/>
      <w:r w:rsidRPr="000D6774">
        <w:rPr>
          <w:rFonts w:ascii="Century Gothic" w:eastAsia="Century Gothic" w:hAnsi="Century Gothic" w:cs="Century Gothic"/>
          <w:sz w:val="22"/>
          <w:szCs w:val="22"/>
        </w:rPr>
        <w:t>Château</w:t>
      </w:r>
      <w:proofErr w:type="spellEnd"/>
      <w:r w:rsidRPr="000D6774">
        <w:rPr>
          <w:rFonts w:ascii="Century Gothic" w:eastAsia="Century Gothic" w:hAnsi="Century Gothic" w:cs="Century Gothic"/>
          <w:sz w:val="22"/>
          <w:szCs w:val="22"/>
        </w:rPr>
        <w:t xml:space="preserve"> </w:t>
      </w:r>
      <w:proofErr w:type="spellStart"/>
      <w:r w:rsidRPr="000D6774">
        <w:rPr>
          <w:rFonts w:ascii="Century Gothic" w:eastAsia="Century Gothic" w:hAnsi="Century Gothic" w:cs="Century Gothic"/>
          <w:sz w:val="22"/>
          <w:szCs w:val="22"/>
        </w:rPr>
        <w:t>Cheval</w:t>
      </w:r>
      <w:proofErr w:type="spellEnd"/>
      <w:r w:rsidRPr="000D6774">
        <w:rPr>
          <w:rFonts w:ascii="Century Gothic" w:eastAsia="Century Gothic" w:hAnsi="Century Gothic" w:cs="Century Gothic"/>
          <w:sz w:val="22"/>
          <w:szCs w:val="22"/>
        </w:rPr>
        <w:t xml:space="preserve"> Blanc y </w:t>
      </w:r>
      <w:proofErr w:type="spellStart"/>
      <w:r w:rsidRPr="000D6774">
        <w:rPr>
          <w:rFonts w:ascii="Century Gothic" w:eastAsia="Century Gothic" w:hAnsi="Century Gothic" w:cs="Century Gothic"/>
          <w:sz w:val="22"/>
          <w:szCs w:val="22"/>
        </w:rPr>
        <w:t>Château</w:t>
      </w:r>
      <w:proofErr w:type="spellEnd"/>
      <w:r w:rsidRPr="000D6774">
        <w:rPr>
          <w:rFonts w:ascii="Century Gothic" w:eastAsia="Century Gothic" w:hAnsi="Century Gothic" w:cs="Century Gothic"/>
          <w:sz w:val="22"/>
          <w:szCs w:val="22"/>
        </w:rPr>
        <w:t xml:space="preserve"> </w:t>
      </w:r>
      <w:proofErr w:type="spellStart"/>
      <w:r w:rsidRPr="000D6774">
        <w:rPr>
          <w:rFonts w:ascii="Century Gothic" w:eastAsia="Century Gothic" w:hAnsi="Century Gothic" w:cs="Century Gothic"/>
          <w:sz w:val="22"/>
          <w:szCs w:val="22"/>
        </w:rPr>
        <w:t>d'Yquem</w:t>
      </w:r>
      <w:proofErr w:type="spellEnd"/>
      <w:r w:rsidRPr="000D6774">
        <w:rPr>
          <w:rFonts w:ascii="Century Gothic" w:eastAsia="Century Gothic" w:hAnsi="Century Gothic" w:cs="Century Gothic"/>
          <w:sz w:val="22"/>
          <w:szCs w:val="22"/>
        </w:rPr>
        <w:t xml:space="preserve">. </w:t>
      </w:r>
      <w:proofErr w:type="spellStart"/>
      <w:r w:rsidRPr="004E6028">
        <w:rPr>
          <w:rFonts w:ascii="Century Gothic" w:eastAsia="Century Gothic" w:hAnsi="Century Gothic" w:cs="Century Gothic"/>
          <w:i/>
          <w:iCs/>
          <w:sz w:val="22"/>
          <w:szCs w:val="22"/>
        </w:rPr>
        <w:t>First</w:t>
      </w:r>
      <w:proofErr w:type="spellEnd"/>
      <w:r w:rsidRPr="004E6028">
        <w:rPr>
          <w:rFonts w:ascii="Century Gothic" w:eastAsia="Century Gothic" w:hAnsi="Century Gothic" w:cs="Century Gothic"/>
          <w:i/>
          <w:iCs/>
          <w:sz w:val="22"/>
          <w:szCs w:val="22"/>
        </w:rPr>
        <w:t xml:space="preserve"> </w:t>
      </w:r>
      <w:proofErr w:type="spellStart"/>
      <w:r w:rsidRPr="004E6028">
        <w:rPr>
          <w:rFonts w:ascii="Century Gothic" w:eastAsia="Century Gothic" w:hAnsi="Century Gothic" w:cs="Century Gothic"/>
          <w:i/>
          <w:iCs/>
          <w:sz w:val="22"/>
          <w:szCs w:val="22"/>
        </w:rPr>
        <w:t>Growth</w:t>
      </w:r>
      <w:proofErr w:type="spellEnd"/>
      <w:r w:rsidRPr="000D6774">
        <w:rPr>
          <w:rFonts w:ascii="Century Gothic" w:eastAsia="Century Gothic" w:hAnsi="Century Gothic" w:cs="Century Gothic"/>
          <w:sz w:val="22"/>
          <w:szCs w:val="22"/>
        </w:rPr>
        <w:t xml:space="preserve"> hace referencia al nivel más alto de la </w:t>
      </w:r>
      <w:r w:rsidR="004E6028">
        <w:rPr>
          <w:rFonts w:ascii="Century Gothic" w:eastAsia="Century Gothic" w:hAnsi="Century Gothic" w:cs="Century Gothic"/>
          <w:sz w:val="22"/>
          <w:szCs w:val="22"/>
        </w:rPr>
        <w:t>c</w:t>
      </w:r>
      <w:r w:rsidRPr="000D6774">
        <w:rPr>
          <w:rFonts w:ascii="Century Gothic" w:eastAsia="Century Gothic" w:hAnsi="Century Gothic" w:cs="Century Gothic"/>
          <w:sz w:val="22"/>
          <w:szCs w:val="22"/>
        </w:rPr>
        <w:t xml:space="preserve">lasificación de Burdeos de 1855, en la que los </w:t>
      </w:r>
      <w:proofErr w:type="spellStart"/>
      <w:r w:rsidRPr="000239CB">
        <w:rPr>
          <w:rFonts w:ascii="Century Gothic" w:eastAsia="Century Gothic" w:hAnsi="Century Gothic" w:cs="Century Gothic"/>
          <w:i/>
          <w:sz w:val="22"/>
          <w:szCs w:val="22"/>
        </w:rPr>
        <w:t>châteaux</w:t>
      </w:r>
      <w:proofErr w:type="spellEnd"/>
      <w:r w:rsidRPr="000239CB">
        <w:rPr>
          <w:rFonts w:ascii="Century Gothic" w:eastAsia="Century Gothic" w:hAnsi="Century Gothic" w:cs="Century Gothic"/>
          <w:i/>
          <w:sz w:val="22"/>
          <w:szCs w:val="22"/>
        </w:rPr>
        <w:t xml:space="preserve"> </w:t>
      </w:r>
      <w:r w:rsidRPr="000D6774">
        <w:rPr>
          <w:rFonts w:ascii="Century Gothic" w:eastAsia="Century Gothic" w:hAnsi="Century Gothic" w:cs="Century Gothic"/>
          <w:sz w:val="22"/>
          <w:szCs w:val="22"/>
        </w:rPr>
        <w:t>se clasificaban en función de su calidad, precio y reputación, a petición del Emperador Napoleón III.</w:t>
      </w:r>
    </w:p>
    <w:p w14:paraId="661EF25E" w14:textId="0A968797" w:rsidR="000D6774" w:rsidRPr="000D6774" w:rsidRDefault="000239CB" w:rsidP="000D677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E</w:t>
      </w:r>
      <w:r w:rsidR="000D6774" w:rsidRPr="000D6774">
        <w:rPr>
          <w:rFonts w:ascii="Century Gothic" w:eastAsia="Century Gothic" w:hAnsi="Century Gothic" w:cs="Century Gothic"/>
          <w:sz w:val="22"/>
          <w:szCs w:val="22"/>
        </w:rPr>
        <w:t xml:space="preserve">n la actualidad, </w:t>
      </w:r>
      <w:proofErr w:type="spellStart"/>
      <w:r w:rsidR="000D6774" w:rsidRPr="000D6774">
        <w:rPr>
          <w:rFonts w:ascii="Century Gothic" w:eastAsia="Century Gothic" w:hAnsi="Century Gothic" w:cs="Century Gothic"/>
          <w:sz w:val="22"/>
          <w:szCs w:val="22"/>
        </w:rPr>
        <w:t>Emirates</w:t>
      </w:r>
      <w:proofErr w:type="spellEnd"/>
      <w:r w:rsidR="000D6774" w:rsidRPr="000D6774">
        <w:rPr>
          <w:rFonts w:ascii="Century Gothic" w:eastAsia="Century Gothic" w:hAnsi="Century Gothic" w:cs="Century Gothic"/>
          <w:sz w:val="22"/>
          <w:szCs w:val="22"/>
        </w:rPr>
        <w:t xml:space="preserve"> ofrece 36 variedades diferentes de vinos y </w:t>
      </w:r>
      <w:proofErr w:type="spellStart"/>
      <w:r w:rsidR="000D6774" w:rsidRPr="000239CB">
        <w:rPr>
          <w:rFonts w:ascii="Century Gothic" w:eastAsia="Century Gothic" w:hAnsi="Century Gothic" w:cs="Century Gothic"/>
          <w:i/>
          <w:sz w:val="22"/>
          <w:szCs w:val="22"/>
        </w:rPr>
        <w:t>champagnes</w:t>
      </w:r>
      <w:proofErr w:type="spellEnd"/>
      <w:r w:rsidR="000D6774" w:rsidRPr="000D6774">
        <w:rPr>
          <w:rFonts w:ascii="Century Gothic" w:eastAsia="Century Gothic" w:hAnsi="Century Gothic" w:cs="Century Gothic"/>
          <w:sz w:val="22"/>
          <w:szCs w:val="22"/>
        </w:rPr>
        <w:t xml:space="preserve"> franceses a bordo de sus aviones.</w:t>
      </w:r>
    </w:p>
    <w:p w14:paraId="0C96009B" w14:textId="77777777" w:rsidR="000D6774" w:rsidRPr="000D6774" w:rsidRDefault="000D6774" w:rsidP="000D6774">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0D6774">
        <w:rPr>
          <w:rFonts w:ascii="Century Gothic" w:eastAsia="Century Gothic" w:hAnsi="Century Gothic" w:cs="Century Gothic"/>
          <w:b/>
          <w:bCs/>
          <w:sz w:val="22"/>
          <w:szCs w:val="22"/>
        </w:rPr>
        <w:t xml:space="preserve">Los prestigiosos criterios de </w:t>
      </w:r>
      <w:proofErr w:type="spellStart"/>
      <w:r w:rsidRPr="000D6774">
        <w:rPr>
          <w:rFonts w:ascii="Century Gothic" w:eastAsia="Century Gothic" w:hAnsi="Century Gothic" w:cs="Century Gothic"/>
          <w:b/>
          <w:bCs/>
          <w:sz w:val="22"/>
          <w:szCs w:val="22"/>
        </w:rPr>
        <w:t>Emirates</w:t>
      </w:r>
      <w:proofErr w:type="spellEnd"/>
      <w:r w:rsidRPr="000D6774">
        <w:rPr>
          <w:rFonts w:ascii="Century Gothic" w:eastAsia="Century Gothic" w:hAnsi="Century Gothic" w:cs="Century Gothic"/>
          <w:b/>
          <w:bCs/>
          <w:sz w:val="22"/>
          <w:szCs w:val="22"/>
        </w:rPr>
        <w:t xml:space="preserve"> para la selección de vinos</w:t>
      </w:r>
    </w:p>
    <w:p w14:paraId="3608D1BB" w14:textId="0A8B107A" w:rsidR="000D6774" w:rsidRDefault="000D6774" w:rsidP="000D677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D6774">
        <w:rPr>
          <w:rFonts w:ascii="Century Gothic" w:eastAsia="Century Gothic" w:hAnsi="Century Gothic" w:cs="Century Gothic"/>
          <w:sz w:val="22"/>
          <w:szCs w:val="22"/>
        </w:rPr>
        <w:t xml:space="preserve">Los estrictos criterios de </w:t>
      </w:r>
      <w:proofErr w:type="spellStart"/>
      <w:r w:rsidRPr="000D6774">
        <w:rPr>
          <w:rFonts w:ascii="Century Gothic" w:eastAsia="Century Gothic" w:hAnsi="Century Gothic" w:cs="Century Gothic"/>
          <w:sz w:val="22"/>
          <w:szCs w:val="22"/>
        </w:rPr>
        <w:t>Emirates</w:t>
      </w:r>
      <w:proofErr w:type="spellEnd"/>
      <w:r w:rsidRPr="000D6774">
        <w:rPr>
          <w:rFonts w:ascii="Century Gothic" w:eastAsia="Century Gothic" w:hAnsi="Century Gothic" w:cs="Century Gothic"/>
          <w:sz w:val="22"/>
          <w:szCs w:val="22"/>
        </w:rPr>
        <w:t xml:space="preserve"> para la selección de vinos incluyen un proceso muy detallado, en el que se eligen vinos conocidos por sobresalir tanto en tierra como en altitud, sometiendo los resultados a continuas pruebas. Entre los factores clave que se tienen en cuenta figuran el contenido de fruta, la acidez, los niveles de taninos y la influencia del roble. Igualmente crucial para </w:t>
      </w:r>
      <w:proofErr w:type="spellStart"/>
      <w:r w:rsidRPr="000D6774">
        <w:rPr>
          <w:rFonts w:ascii="Century Gothic" w:eastAsia="Century Gothic" w:hAnsi="Century Gothic" w:cs="Century Gothic"/>
          <w:sz w:val="22"/>
          <w:szCs w:val="22"/>
        </w:rPr>
        <w:t>Emirates</w:t>
      </w:r>
      <w:proofErr w:type="spellEnd"/>
      <w:r w:rsidRPr="000D6774">
        <w:rPr>
          <w:rFonts w:ascii="Century Gothic" w:eastAsia="Century Gothic" w:hAnsi="Century Gothic" w:cs="Century Gothic"/>
          <w:sz w:val="22"/>
          <w:szCs w:val="22"/>
        </w:rPr>
        <w:t xml:space="preserve"> es la madurez del vino, que influye directamente en los niveles de taninos. Muchos de los vinos seleccionados se elaboran para ser disfrutados después de un envejecimiento significativo y la bodega de </w:t>
      </w:r>
      <w:proofErr w:type="spellStart"/>
      <w:r w:rsidRPr="000D6774">
        <w:rPr>
          <w:rFonts w:ascii="Century Gothic" w:eastAsia="Century Gothic" w:hAnsi="Century Gothic" w:cs="Century Gothic"/>
          <w:sz w:val="22"/>
          <w:szCs w:val="22"/>
        </w:rPr>
        <w:t>Emirates</w:t>
      </w:r>
      <w:proofErr w:type="spellEnd"/>
      <w:r w:rsidRPr="000D6774">
        <w:rPr>
          <w:rFonts w:ascii="Century Gothic" w:eastAsia="Century Gothic" w:hAnsi="Century Gothic" w:cs="Century Gothic"/>
          <w:sz w:val="22"/>
          <w:szCs w:val="22"/>
        </w:rPr>
        <w:t xml:space="preserve"> incluye vinos que datan de la cosecha de 2003. Los vinos de Burdeos destinados a </w:t>
      </w:r>
      <w:r w:rsidRPr="000239CB">
        <w:rPr>
          <w:rFonts w:ascii="Century Gothic" w:eastAsia="Century Gothic" w:hAnsi="Century Gothic" w:cs="Century Gothic"/>
          <w:i/>
          <w:sz w:val="22"/>
          <w:szCs w:val="22"/>
        </w:rPr>
        <w:t xml:space="preserve">Business </w:t>
      </w:r>
      <w:proofErr w:type="spellStart"/>
      <w:r w:rsidRPr="000239CB">
        <w:rPr>
          <w:rFonts w:ascii="Century Gothic" w:eastAsia="Century Gothic" w:hAnsi="Century Gothic" w:cs="Century Gothic"/>
          <w:i/>
          <w:sz w:val="22"/>
          <w:szCs w:val="22"/>
        </w:rPr>
        <w:t>Class</w:t>
      </w:r>
      <w:proofErr w:type="spellEnd"/>
      <w:r>
        <w:rPr>
          <w:rFonts w:ascii="Century Gothic" w:eastAsia="Century Gothic" w:hAnsi="Century Gothic" w:cs="Century Gothic"/>
          <w:sz w:val="22"/>
          <w:szCs w:val="22"/>
        </w:rPr>
        <w:t xml:space="preserve"> </w:t>
      </w:r>
      <w:r w:rsidRPr="000D6774">
        <w:rPr>
          <w:rFonts w:ascii="Century Gothic" w:eastAsia="Century Gothic" w:hAnsi="Century Gothic" w:cs="Century Gothic"/>
          <w:sz w:val="22"/>
          <w:szCs w:val="22"/>
        </w:rPr>
        <w:t xml:space="preserve">se someten a un periodo mínimo de envejecimiento de 8 a 10 años, mientras que los de </w:t>
      </w:r>
      <w:proofErr w:type="spellStart"/>
      <w:r w:rsidRPr="000239CB">
        <w:rPr>
          <w:rFonts w:ascii="Century Gothic" w:eastAsia="Century Gothic" w:hAnsi="Century Gothic" w:cs="Century Gothic"/>
          <w:i/>
          <w:sz w:val="22"/>
          <w:szCs w:val="22"/>
        </w:rPr>
        <w:t>First</w:t>
      </w:r>
      <w:proofErr w:type="spellEnd"/>
      <w:r w:rsidRPr="000239CB">
        <w:rPr>
          <w:rFonts w:ascii="Century Gothic" w:eastAsia="Century Gothic" w:hAnsi="Century Gothic" w:cs="Century Gothic"/>
          <w:i/>
          <w:sz w:val="22"/>
          <w:szCs w:val="22"/>
        </w:rPr>
        <w:t xml:space="preserve"> </w:t>
      </w:r>
      <w:proofErr w:type="spellStart"/>
      <w:r w:rsidRPr="000239CB">
        <w:rPr>
          <w:rFonts w:ascii="Century Gothic" w:eastAsia="Century Gothic" w:hAnsi="Century Gothic" w:cs="Century Gothic"/>
          <w:i/>
          <w:sz w:val="22"/>
          <w:szCs w:val="22"/>
        </w:rPr>
        <w:t>Class</w:t>
      </w:r>
      <w:proofErr w:type="spellEnd"/>
      <w:r w:rsidRPr="000D6774">
        <w:rPr>
          <w:rFonts w:ascii="Century Gothic" w:eastAsia="Century Gothic" w:hAnsi="Century Gothic" w:cs="Century Gothic"/>
          <w:sz w:val="22"/>
          <w:szCs w:val="22"/>
        </w:rPr>
        <w:t xml:space="preserve"> reciben un mínimo de 12 a 15 años de envejecimiento, todo ello en instalaciones profesionales de Francia. Los vinos se seleccionan cuando están listos para ser servidos a bordo y se colocan estratégicamente en todo el mundo. Como parte de su promesa </w:t>
      </w:r>
      <w:proofErr w:type="spellStart"/>
      <w:r w:rsidRPr="004E6028">
        <w:rPr>
          <w:rFonts w:ascii="Century Gothic" w:eastAsia="Century Gothic" w:hAnsi="Century Gothic" w:cs="Century Gothic"/>
          <w:i/>
          <w:iCs/>
          <w:sz w:val="22"/>
          <w:szCs w:val="22"/>
        </w:rPr>
        <w:t>Fly</w:t>
      </w:r>
      <w:proofErr w:type="spellEnd"/>
      <w:r w:rsidRPr="004E6028">
        <w:rPr>
          <w:rFonts w:ascii="Century Gothic" w:eastAsia="Century Gothic" w:hAnsi="Century Gothic" w:cs="Century Gothic"/>
          <w:i/>
          <w:iCs/>
          <w:sz w:val="22"/>
          <w:szCs w:val="22"/>
        </w:rPr>
        <w:t xml:space="preserve"> </w:t>
      </w:r>
      <w:proofErr w:type="spellStart"/>
      <w:r w:rsidRPr="004E6028">
        <w:rPr>
          <w:rFonts w:ascii="Century Gothic" w:eastAsia="Century Gothic" w:hAnsi="Century Gothic" w:cs="Century Gothic"/>
          <w:i/>
          <w:iCs/>
          <w:sz w:val="22"/>
          <w:szCs w:val="22"/>
        </w:rPr>
        <w:t>Better</w:t>
      </w:r>
      <w:proofErr w:type="spellEnd"/>
      <w:r w:rsidRPr="000D6774">
        <w:rPr>
          <w:rFonts w:ascii="Century Gothic" w:eastAsia="Century Gothic" w:hAnsi="Century Gothic" w:cs="Century Gothic"/>
          <w:sz w:val="22"/>
          <w:szCs w:val="22"/>
        </w:rPr>
        <w:t xml:space="preserve">, </w:t>
      </w:r>
      <w:proofErr w:type="spellStart"/>
      <w:r w:rsidRPr="000D6774">
        <w:rPr>
          <w:rFonts w:ascii="Century Gothic" w:eastAsia="Century Gothic" w:hAnsi="Century Gothic" w:cs="Century Gothic"/>
          <w:sz w:val="22"/>
          <w:szCs w:val="22"/>
        </w:rPr>
        <w:t>Emirates</w:t>
      </w:r>
      <w:proofErr w:type="spellEnd"/>
      <w:r w:rsidRPr="000D6774">
        <w:rPr>
          <w:rFonts w:ascii="Century Gothic" w:eastAsia="Century Gothic" w:hAnsi="Century Gothic" w:cs="Century Gothic"/>
          <w:sz w:val="22"/>
          <w:szCs w:val="22"/>
        </w:rPr>
        <w:t xml:space="preserve"> hace todo lo posible para garantizar que los clientes puedan saborear los vinos en su mejor momento.</w:t>
      </w:r>
    </w:p>
    <w:p w14:paraId="19ADF4F3" w14:textId="77777777" w:rsidR="00BF3381" w:rsidRPr="00BF3381" w:rsidRDefault="00BF3381" w:rsidP="00BF3381">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BF3381">
        <w:rPr>
          <w:rFonts w:ascii="Century Gothic" w:eastAsia="Century Gothic" w:hAnsi="Century Gothic" w:cs="Century Gothic"/>
          <w:b/>
          <w:bCs/>
          <w:sz w:val="22"/>
          <w:szCs w:val="22"/>
        </w:rPr>
        <w:t>Vinos de clase mundial para cada clase de cabina</w:t>
      </w:r>
    </w:p>
    <w:p w14:paraId="419AC413" w14:textId="77777777" w:rsidR="00BF3381" w:rsidRPr="00BF3381" w:rsidRDefault="00BF3381" w:rsidP="00BF338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3381">
        <w:rPr>
          <w:rFonts w:ascii="Century Gothic" w:eastAsia="Century Gothic" w:hAnsi="Century Gothic" w:cs="Century Gothic"/>
          <w:sz w:val="22"/>
          <w:szCs w:val="22"/>
        </w:rPr>
        <w:t xml:space="preserve">Cada una de las cuatro cabinas de </w:t>
      </w:r>
      <w:proofErr w:type="spellStart"/>
      <w:r w:rsidRPr="00BF3381">
        <w:rPr>
          <w:rFonts w:ascii="Century Gothic" w:eastAsia="Century Gothic" w:hAnsi="Century Gothic" w:cs="Century Gothic"/>
          <w:sz w:val="22"/>
          <w:szCs w:val="22"/>
        </w:rPr>
        <w:t>Emirates</w:t>
      </w:r>
      <w:proofErr w:type="spellEnd"/>
      <w:r w:rsidRPr="00BF3381">
        <w:rPr>
          <w:rFonts w:ascii="Century Gothic" w:eastAsia="Century Gothic" w:hAnsi="Century Gothic" w:cs="Century Gothic"/>
          <w:sz w:val="22"/>
          <w:szCs w:val="22"/>
        </w:rPr>
        <w:t xml:space="preserve"> cuenta con una selección de vinos distinta, que se actualiza cada dos semanas para garantizar que los viajeros frecuentes disfruten siempre de variedad.</w:t>
      </w:r>
    </w:p>
    <w:p w14:paraId="6960F6C6" w14:textId="03ED815D" w:rsidR="00BF3381" w:rsidRPr="00A807F6" w:rsidRDefault="00BF3381" w:rsidP="00BF338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3381">
        <w:rPr>
          <w:rFonts w:ascii="Century Gothic" w:eastAsia="Century Gothic" w:hAnsi="Century Gothic" w:cs="Century Gothic"/>
          <w:sz w:val="22"/>
          <w:szCs w:val="22"/>
        </w:rPr>
        <w:t xml:space="preserve">En </w:t>
      </w:r>
      <w:proofErr w:type="spellStart"/>
      <w:r w:rsidRPr="000239CB">
        <w:rPr>
          <w:rFonts w:ascii="Century Gothic" w:eastAsia="Century Gothic" w:hAnsi="Century Gothic" w:cs="Century Gothic"/>
          <w:i/>
          <w:sz w:val="22"/>
          <w:szCs w:val="22"/>
        </w:rPr>
        <w:t>Economy</w:t>
      </w:r>
      <w:proofErr w:type="spellEnd"/>
      <w:r w:rsidRPr="000239CB">
        <w:rPr>
          <w:rFonts w:ascii="Century Gothic" w:eastAsia="Century Gothic" w:hAnsi="Century Gothic" w:cs="Century Gothic"/>
          <w:i/>
          <w:sz w:val="22"/>
          <w:szCs w:val="22"/>
        </w:rPr>
        <w:t xml:space="preserve"> </w:t>
      </w:r>
      <w:proofErr w:type="spellStart"/>
      <w:r w:rsidRPr="000239CB">
        <w:rPr>
          <w:rFonts w:ascii="Century Gothic" w:eastAsia="Century Gothic" w:hAnsi="Century Gothic" w:cs="Century Gothic"/>
          <w:i/>
          <w:sz w:val="22"/>
          <w:szCs w:val="22"/>
        </w:rPr>
        <w:t>Class</w:t>
      </w:r>
      <w:proofErr w:type="spellEnd"/>
      <w:r w:rsidRPr="00BF3381">
        <w:rPr>
          <w:rFonts w:ascii="Century Gothic" w:eastAsia="Century Gothic" w:hAnsi="Century Gothic" w:cs="Century Gothic"/>
          <w:sz w:val="22"/>
          <w:szCs w:val="22"/>
        </w:rPr>
        <w:t xml:space="preserve">, </w:t>
      </w:r>
      <w:proofErr w:type="spellStart"/>
      <w:r w:rsidRPr="00BF3381">
        <w:rPr>
          <w:rFonts w:ascii="Century Gothic" w:eastAsia="Century Gothic" w:hAnsi="Century Gothic" w:cs="Century Gothic"/>
          <w:sz w:val="22"/>
          <w:szCs w:val="22"/>
        </w:rPr>
        <w:t>Emirates</w:t>
      </w:r>
      <w:proofErr w:type="spellEnd"/>
      <w:r w:rsidRPr="00BF3381">
        <w:rPr>
          <w:rFonts w:ascii="Century Gothic" w:eastAsia="Century Gothic" w:hAnsi="Century Gothic" w:cs="Century Gothic"/>
          <w:sz w:val="22"/>
          <w:szCs w:val="22"/>
        </w:rPr>
        <w:t xml:space="preserve"> ofrece un vino tinto y otro blanco, ambos de una calidad excepcional. Las últimas incorporaciones incluyen vinos "AOP Biodinámico" de M. </w:t>
      </w:r>
      <w:proofErr w:type="spellStart"/>
      <w:r w:rsidRPr="00BF3381">
        <w:rPr>
          <w:rFonts w:ascii="Century Gothic" w:eastAsia="Century Gothic" w:hAnsi="Century Gothic" w:cs="Century Gothic"/>
          <w:sz w:val="22"/>
          <w:szCs w:val="22"/>
        </w:rPr>
        <w:t>Chapoutier</w:t>
      </w:r>
      <w:proofErr w:type="spellEnd"/>
      <w:r w:rsidRPr="00BF3381">
        <w:rPr>
          <w:rFonts w:ascii="Century Gothic" w:eastAsia="Century Gothic" w:hAnsi="Century Gothic" w:cs="Century Gothic"/>
          <w:sz w:val="22"/>
          <w:szCs w:val="22"/>
        </w:rPr>
        <w:t xml:space="preserve">, </w:t>
      </w:r>
      <w:proofErr w:type="spellStart"/>
      <w:r w:rsidRPr="00BF3381">
        <w:rPr>
          <w:rFonts w:ascii="Century Gothic" w:eastAsia="Century Gothic" w:hAnsi="Century Gothic" w:cs="Century Gothic"/>
          <w:sz w:val="22"/>
          <w:szCs w:val="22"/>
        </w:rPr>
        <w:t>Domaines</w:t>
      </w:r>
      <w:proofErr w:type="spellEnd"/>
      <w:r w:rsidRPr="00BF3381">
        <w:rPr>
          <w:rFonts w:ascii="Century Gothic" w:eastAsia="Century Gothic" w:hAnsi="Century Gothic" w:cs="Century Gothic"/>
          <w:sz w:val="22"/>
          <w:szCs w:val="22"/>
        </w:rPr>
        <w:t xml:space="preserve"> </w:t>
      </w:r>
      <w:proofErr w:type="spellStart"/>
      <w:r w:rsidRPr="00BF3381">
        <w:rPr>
          <w:rFonts w:ascii="Century Gothic" w:eastAsia="Century Gothic" w:hAnsi="Century Gothic" w:cs="Century Gothic"/>
          <w:sz w:val="22"/>
          <w:szCs w:val="22"/>
        </w:rPr>
        <w:t>Baron</w:t>
      </w:r>
      <w:proofErr w:type="spellEnd"/>
      <w:r w:rsidRPr="00BF3381">
        <w:rPr>
          <w:rFonts w:ascii="Century Gothic" w:eastAsia="Century Gothic" w:hAnsi="Century Gothic" w:cs="Century Gothic"/>
          <w:sz w:val="22"/>
          <w:szCs w:val="22"/>
        </w:rPr>
        <w:t xml:space="preserve"> de Rothschild, un Sauvignon Blanc sudafricano del campeón de la sostenibilidad, la familia </w:t>
      </w:r>
      <w:proofErr w:type="spellStart"/>
      <w:r w:rsidRPr="00BF3381">
        <w:rPr>
          <w:rFonts w:ascii="Century Gothic" w:eastAsia="Century Gothic" w:hAnsi="Century Gothic" w:cs="Century Gothic"/>
          <w:sz w:val="22"/>
          <w:szCs w:val="22"/>
        </w:rPr>
        <w:t>Gabb</w:t>
      </w:r>
      <w:proofErr w:type="spellEnd"/>
      <w:r w:rsidRPr="00BF3381">
        <w:rPr>
          <w:rFonts w:ascii="Century Gothic" w:eastAsia="Century Gothic" w:hAnsi="Century Gothic" w:cs="Century Gothic"/>
          <w:sz w:val="22"/>
          <w:szCs w:val="22"/>
        </w:rPr>
        <w:t xml:space="preserve"> y el vino tinto </w:t>
      </w:r>
      <w:proofErr w:type="spellStart"/>
      <w:r w:rsidRPr="00BF3381">
        <w:rPr>
          <w:rFonts w:ascii="Century Gothic" w:eastAsia="Century Gothic" w:hAnsi="Century Gothic" w:cs="Century Gothic"/>
          <w:sz w:val="22"/>
          <w:szCs w:val="22"/>
        </w:rPr>
        <w:t>Antinori</w:t>
      </w:r>
      <w:proofErr w:type="spellEnd"/>
      <w:r w:rsidRPr="00BF3381">
        <w:rPr>
          <w:rFonts w:ascii="Century Gothic" w:eastAsia="Century Gothic" w:hAnsi="Century Gothic" w:cs="Century Gothic"/>
          <w:sz w:val="22"/>
          <w:szCs w:val="22"/>
        </w:rPr>
        <w:t xml:space="preserve"> Santa Cristina. La AOP es una norma de la Unión Europea (UE) similar al sistema francés de AOC en el sentido de que hace hincapié en el origen geográfico de los vinos y en métodos de </w:t>
      </w:r>
      <w:r w:rsidRPr="00BF3381">
        <w:rPr>
          <w:rFonts w:ascii="Century Gothic" w:eastAsia="Century Gothic" w:hAnsi="Century Gothic" w:cs="Century Gothic"/>
          <w:sz w:val="22"/>
          <w:szCs w:val="22"/>
        </w:rPr>
        <w:lastRenderedPageBreak/>
        <w:t xml:space="preserve">producción específicos. La vinificación </w:t>
      </w:r>
      <w:r w:rsidRPr="00A807F6">
        <w:rPr>
          <w:rFonts w:ascii="Century Gothic" w:eastAsia="Century Gothic" w:hAnsi="Century Gothic" w:cs="Century Gothic"/>
          <w:sz w:val="22"/>
          <w:szCs w:val="22"/>
        </w:rPr>
        <w:t xml:space="preserve">biodinámica </w:t>
      </w:r>
      <w:r w:rsidR="00427D37" w:rsidRPr="00A807F6">
        <w:rPr>
          <w:rFonts w:ascii="Century Gothic" w:eastAsia="Century Gothic" w:hAnsi="Century Gothic" w:cs="Century Gothic"/>
          <w:sz w:val="22"/>
          <w:szCs w:val="22"/>
        </w:rPr>
        <w:t>se centra en</w:t>
      </w:r>
      <w:r w:rsidRPr="00A807F6">
        <w:rPr>
          <w:rFonts w:ascii="Century Gothic" w:eastAsia="Century Gothic" w:hAnsi="Century Gothic" w:cs="Century Gothic"/>
          <w:sz w:val="22"/>
          <w:szCs w:val="22"/>
        </w:rPr>
        <w:t xml:space="preserve"> una agricultura holística y sostenible y en una intervención mínima tras la vendimia, creando vinos conocidos por su marcada expresión del terruño.</w:t>
      </w:r>
    </w:p>
    <w:p w14:paraId="47E7FD05" w14:textId="09DB9F8B" w:rsidR="00BF3381" w:rsidRPr="00BF3381" w:rsidRDefault="00BF3381" w:rsidP="00BF338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A807F6">
        <w:rPr>
          <w:rFonts w:ascii="Century Gothic" w:eastAsia="Century Gothic" w:hAnsi="Century Gothic" w:cs="Century Gothic"/>
          <w:sz w:val="22"/>
          <w:szCs w:val="22"/>
        </w:rPr>
        <w:t xml:space="preserve">En </w:t>
      </w:r>
      <w:r w:rsidRPr="00A807F6">
        <w:rPr>
          <w:rFonts w:ascii="Century Gothic" w:eastAsia="Century Gothic" w:hAnsi="Century Gothic" w:cs="Century Gothic"/>
          <w:i/>
          <w:sz w:val="22"/>
          <w:szCs w:val="22"/>
        </w:rPr>
        <w:t xml:space="preserve">Premium </w:t>
      </w:r>
      <w:proofErr w:type="spellStart"/>
      <w:r w:rsidRPr="00A807F6">
        <w:rPr>
          <w:rFonts w:ascii="Century Gothic" w:eastAsia="Century Gothic" w:hAnsi="Century Gothic" w:cs="Century Gothic"/>
          <w:i/>
          <w:sz w:val="22"/>
          <w:szCs w:val="22"/>
        </w:rPr>
        <w:t>Economy</w:t>
      </w:r>
      <w:proofErr w:type="spellEnd"/>
      <w:r w:rsidRPr="00A807F6">
        <w:rPr>
          <w:rFonts w:ascii="Century Gothic" w:eastAsia="Century Gothic" w:hAnsi="Century Gothic" w:cs="Century Gothic"/>
          <w:sz w:val="22"/>
          <w:szCs w:val="22"/>
        </w:rPr>
        <w:t xml:space="preserve">, </w:t>
      </w:r>
      <w:proofErr w:type="spellStart"/>
      <w:r w:rsidRPr="00A807F6">
        <w:rPr>
          <w:rFonts w:ascii="Century Gothic" w:eastAsia="Century Gothic" w:hAnsi="Century Gothic" w:cs="Century Gothic"/>
          <w:sz w:val="22"/>
          <w:szCs w:val="22"/>
        </w:rPr>
        <w:t>Emirates</w:t>
      </w:r>
      <w:proofErr w:type="spellEnd"/>
      <w:r w:rsidRPr="00A807F6">
        <w:rPr>
          <w:rFonts w:ascii="Century Gothic" w:eastAsia="Century Gothic" w:hAnsi="Century Gothic" w:cs="Century Gothic"/>
          <w:sz w:val="22"/>
          <w:szCs w:val="22"/>
        </w:rPr>
        <w:t xml:space="preserve"> sirve vino espumoso de cosecha, tinto de primera calidad y blanco de primera </w:t>
      </w:r>
      <w:r w:rsidR="00427D37" w:rsidRPr="00A807F6">
        <w:rPr>
          <w:rFonts w:ascii="Century Gothic" w:eastAsia="Century Gothic" w:hAnsi="Century Gothic" w:cs="Century Gothic"/>
          <w:sz w:val="22"/>
          <w:szCs w:val="22"/>
        </w:rPr>
        <w:t>categoría</w:t>
      </w:r>
      <w:r w:rsidRPr="00A807F6">
        <w:rPr>
          <w:rFonts w:ascii="Century Gothic" w:eastAsia="Century Gothic" w:hAnsi="Century Gothic" w:cs="Century Gothic"/>
          <w:sz w:val="22"/>
          <w:szCs w:val="22"/>
        </w:rPr>
        <w:t xml:space="preserve">. Algunos ejemplos son </w:t>
      </w:r>
      <w:r w:rsidR="00427D37" w:rsidRPr="00A807F6">
        <w:rPr>
          <w:rFonts w:ascii="Century Gothic" w:eastAsia="Century Gothic" w:hAnsi="Century Gothic" w:cs="Century Gothic"/>
          <w:sz w:val="22"/>
          <w:szCs w:val="22"/>
        </w:rPr>
        <w:t>“</w:t>
      </w:r>
      <w:proofErr w:type="spellStart"/>
      <w:r w:rsidRPr="00A807F6">
        <w:rPr>
          <w:rFonts w:ascii="Century Gothic" w:eastAsia="Century Gothic" w:hAnsi="Century Gothic" w:cs="Century Gothic"/>
          <w:sz w:val="22"/>
          <w:szCs w:val="22"/>
        </w:rPr>
        <w:t>Château</w:t>
      </w:r>
      <w:proofErr w:type="spellEnd"/>
      <w:r w:rsidRPr="00A807F6">
        <w:rPr>
          <w:rFonts w:ascii="Century Gothic" w:eastAsia="Century Gothic" w:hAnsi="Century Gothic" w:cs="Century Gothic"/>
          <w:sz w:val="22"/>
          <w:szCs w:val="22"/>
        </w:rPr>
        <w:t xml:space="preserve"> Lagarde 2011</w:t>
      </w:r>
      <w:r w:rsidR="00427D37" w:rsidRPr="00A807F6">
        <w:rPr>
          <w:rFonts w:ascii="Century Gothic" w:eastAsia="Century Gothic" w:hAnsi="Century Gothic" w:cs="Century Gothic"/>
          <w:sz w:val="22"/>
          <w:szCs w:val="22"/>
        </w:rPr>
        <w:t>”</w:t>
      </w:r>
      <w:r w:rsidRPr="00A807F6">
        <w:rPr>
          <w:rFonts w:ascii="Century Gothic" w:eastAsia="Century Gothic" w:hAnsi="Century Gothic" w:cs="Century Gothic"/>
          <w:sz w:val="22"/>
          <w:szCs w:val="22"/>
        </w:rPr>
        <w:t xml:space="preserve">, </w:t>
      </w:r>
      <w:r w:rsidR="00427D37" w:rsidRPr="00A807F6">
        <w:rPr>
          <w:rFonts w:ascii="Century Gothic" w:eastAsia="Century Gothic" w:hAnsi="Century Gothic" w:cs="Century Gothic"/>
          <w:sz w:val="22"/>
          <w:szCs w:val="22"/>
        </w:rPr>
        <w:t>“</w:t>
      </w:r>
      <w:proofErr w:type="spellStart"/>
      <w:r w:rsidRPr="00A807F6">
        <w:rPr>
          <w:rFonts w:ascii="Century Gothic" w:eastAsia="Century Gothic" w:hAnsi="Century Gothic" w:cs="Century Gothic"/>
          <w:sz w:val="22"/>
          <w:szCs w:val="22"/>
        </w:rPr>
        <w:t>Cloudy</w:t>
      </w:r>
      <w:proofErr w:type="spellEnd"/>
      <w:r w:rsidRPr="00A807F6">
        <w:rPr>
          <w:rFonts w:ascii="Century Gothic" w:eastAsia="Century Gothic" w:hAnsi="Century Gothic" w:cs="Century Gothic"/>
          <w:sz w:val="22"/>
          <w:szCs w:val="22"/>
        </w:rPr>
        <w:t xml:space="preserve"> Bay Sauvignon Blanc</w:t>
      </w:r>
      <w:r w:rsidR="00427D37" w:rsidRPr="00A807F6">
        <w:rPr>
          <w:rFonts w:ascii="Century Gothic" w:eastAsia="Century Gothic" w:hAnsi="Century Gothic" w:cs="Century Gothic"/>
          <w:sz w:val="22"/>
          <w:szCs w:val="22"/>
        </w:rPr>
        <w:t>”</w:t>
      </w:r>
      <w:r w:rsidRPr="00A807F6">
        <w:rPr>
          <w:rFonts w:ascii="Century Gothic" w:eastAsia="Century Gothic" w:hAnsi="Century Gothic" w:cs="Century Gothic"/>
          <w:sz w:val="22"/>
          <w:szCs w:val="22"/>
        </w:rPr>
        <w:t xml:space="preserve"> y </w:t>
      </w:r>
      <w:r w:rsidR="00427D37" w:rsidRPr="00A807F6">
        <w:rPr>
          <w:rFonts w:ascii="Century Gothic" w:eastAsia="Century Gothic" w:hAnsi="Century Gothic" w:cs="Century Gothic"/>
          <w:sz w:val="22"/>
          <w:szCs w:val="22"/>
        </w:rPr>
        <w:t>“</w:t>
      </w:r>
      <w:proofErr w:type="spellStart"/>
      <w:r w:rsidRPr="00A807F6">
        <w:rPr>
          <w:rFonts w:ascii="Century Gothic" w:eastAsia="Century Gothic" w:hAnsi="Century Gothic" w:cs="Century Gothic"/>
          <w:sz w:val="22"/>
          <w:szCs w:val="22"/>
        </w:rPr>
        <w:t>Domaine</w:t>
      </w:r>
      <w:proofErr w:type="spellEnd"/>
      <w:r w:rsidRPr="00A807F6">
        <w:rPr>
          <w:rFonts w:ascii="Century Gothic" w:eastAsia="Century Gothic" w:hAnsi="Century Gothic" w:cs="Century Gothic"/>
          <w:sz w:val="22"/>
          <w:szCs w:val="22"/>
        </w:rPr>
        <w:t xml:space="preserve"> </w:t>
      </w:r>
      <w:proofErr w:type="spellStart"/>
      <w:r w:rsidRPr="00A807F6">
        <w:rPr>
          <w:rFonts w:ascii="Century Gothic" w:eastAsia="Century Gothic" w:hAnsi="Century Gothic" w:cs="Century Gothic"/>
          <w:sz w:val="22"/>
          <w:szCs w:val="22"/>
        </w:rPr>
        <w:t>Chandon</w:t>
      </w:r>
      <w:proofErr w:type="spellEnd"/>
      <w:r w:rsidRPr="00A807F6">
        <w:rPr>
          <w:rFonts w:ascii="Century Gothic" w:eastAsia="Century Gothic" w:hAnsi="Century Gothic" w:cs="Century Gothic"/>
          <w:sz w:val="22"/>
          <w:szCs w:val="22"/>
        </w:rPr>
        <w:t xml:space="preserve"> 2016</w:t>
      </w:r>
      <w:r w:rsidR="00427D37" w:rsidRPr="00A807F6">
        <w:rPr>
          <w:rFonts w:ascii="Century Gothic" w:eastAsia="Century Gothic" w:hAnsi="Century Gothic" w:cs="Century Gothic"/>
          <w:sz w:val="22"/>
          <w:szCs w:val="22"/>
        </w:rPr>
        <w:t>”</w:t>
      </w:r>
      <w:r w:rsidRPr="00A807F6">
        <w:rPr>
          <w:rFonts w:ascii="Century Gothic" w:eastAsia="Century Gothic" w:hAnsi="Century Gothic" w:cs="Century Gothic"/>
          <w:sz w:val="22"/>
          <w:szCs w:val="22"/>
        </w:rPr>
        <w:t xml:space="preserve">, un vino espumoso exclusivo de </w:t>
      </w:r>
      <w:proofErr w:type="spellStart"/>
      <w:r w:rsidRPr="00A807F6">
        <w:rPr>
          <w:rFonts w:ascii="Century Gothic" w:eastAsia="Century Gothic" w:hAnsi="Century Gothic" w:cs="Century Gothic"/>
          <w:sz w:val="22"/>
          <w:szCs w:val="22"/>
        </w:rPr>
        <w:t>Emirates</w:t>
      </w:r>
      <w:proofErr w:type="spellEnd"/>
      <w:r w:rsidRPr="00A807F6">
        <w:rPr>
          <w:rFonts w:ascii="Century Gothic" w:eastAsia="Century Gothic" w:hAnsi="Century Gothic" w:cs="Century Gothic"/>
          <w:sz w:val="22"/>
          <w:szCs w:val="22"/>
        </w:rPr>
        <w:t xml:space="preserve"> </w:t>
      </w:r>
      <w:r w:rsidRPr="00A807F6">
        <w:rPr>
          <w:rFonts w:ascii="Century Gothic" w:eastAsia="Century Gothic" w:hAnsi="Century Gothic" w:cs="Century Gothic"/>
          <w:i/>
          <w:sz w:val="22"/>
          <w:szCs w:val="22"/>
        </w:rPr>
        <w:t xml:space="preserve">Premium </w:t>
      </w:r>
      <w:proofErr w:type="spellStart"/>
      <w:r w:rsidRPr="00A807F6">
        <w:rPr>
          <w:rFonts w:ascii="Century Gothic" w:eastAsia="Century Gothic" w:hAnsi="Century Gothic" w:cs="Century Gothic"/>
          <w:i/>
          <w:sz w:val="22"/>
          <w:szCs w:val="22"/>
        </w:rPr>
        <w:t>Economy</w:t>
      </w:r>
      <w:proofErr w:type="spellEnd"/>
      <w:r w:rsidRPr="00A807F6">
        <w:rPr>
          <w:rFonts w:ascii="Century Gothic" w:eastAsia="Century Gothic" w:hAnsi="Century Gothic" w:cs="Century Gothic"/>
          <w:sz w:val="22"/>
          <w:szCs w:val="22"/>
        </w:rPr>
        <w:t>.</w:t>
      </w:r>
    </w:p>
    <w:p w14:paraId="29E282A8" w14:textId="2996A0D3" w:rsidR="00BF3381" w:rsidRPr="00BF3381" w:rsidRDefault="00BF3381" w:rsidP="00BF338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3381">
        <w:rPr>
          <w:rFonts w:ascii="Century Gothic" w:eastAsia="Century Gothic" w:hAnsi="Century Gothic" w:cs="Century Gothic"/>
          <w:sz w:val="22"/>
          <w:szCs w:val="22"/>
        </w:rPr>
        <w:t xml:space="preserve">En </w:t>
      </w:r>
      <w:r w:rsidRPr="00427D37">
        <w:rPr>
          <w:rFonts w:ascii="Century Gothic" w:eastAsia="Century Gothic" w:hAnsi="Century Gothic" w:cs="Century Gothic"/>
          <w:i/>
          <w:sz w:val="22"/>
          <w:szCs w:val="22"/>
        </w:rPr>
        <w:t>Business</w:t>
      </w:r>
      <w:r w:rsidRPr="00BF3381">
        <w:rPr>
          <w:rFonts w:ascii="Century Gothic" w:eastAsia="Century Gothic" w:hAnsi="Century Gothic" w:cs="Century Gothic"/>
          <w:sz w:val="22"/>
          <w:szCs w:val="22"/>
        </w:rPr>
        <w:t xml:space="preserve"> y </w:t>
      </w:r>
      <w:proofErr w:type="spellStart"/>
      <w:r w:rsidRPr="00427D37">
        <w:rPr>
          <w:rFonts w:ascii="Century Gothic" w:eastAsia="Century Gothic" w:hAnsi="Century Gothic" w:cs="Century Gothic"/>
          <w:i/>
          <w:sz w:val="22"/>
          <w:szCs w:val="22"/>
        </w:rPr>
        <w:t>First</w:t>
      </w:r>
      <w:proofErr w:type="spellEnd"/>
      <w:r w:rsidRPr="00427D37">
        <w:rPr>
          <w:rFonts w:ascii="Century Gothic" w:eastAsia="Century Gothic" w:hAnsi="Century Gothic" w:cs="Century Gothic"/>
          <w:i/>
          <w:sz w:val="22"/>
          <w:szCs w:val="22"/>
        </w:rPr>
        <w:t xml:space="preserve"> </w:t>
      </w:r>
      <w:proofErr w:type="spellStart"/>
      <w:r w:rsidRPr="00427D37">
        <w:rPr>
          <w:rFonts w:ascii="Century Gothic" w:eastAsia="Century Gothic" w:hAnsi="Century Gothic" w:cs="Century Gothic"/>
          <w:i/>
          <w:sz w:val="22"/>
          <w:szCs w:val="22"/>
        </w:rPr>
        <w:t>Class</w:t>
      </w:r>
      <w:proofErr w:type="spellEnd"/>
      <w:r w:rsidRPr="00BF3381">
        <w:rPr>
          <w:rFonts w:ascii="Century Gothic" w:eastAsia="Century Gothic" w:hAnsi="Century Gothic" w:cs="Century Gothic"/>
          <w:sz w:val="22"/>
          <w:szCs w:val="22"/>
        </w:rPr>
        <w:t xml:space="preserve">, </w:t>
      </w:r>
      <w:proofErr w:type="spellStart"/>
      <w:r w:rsidRPr="00BF3381">
        <w:rPr>
          <w:rFonts w:ascii="Century Gothic" w:eastAsia="Century Gothic" w:hAnsi="Century Gothic" w:cs="Century Gothic"/>
          <w:sz w:val="22"/>
          <w:szCs w:val="22"/>
        </w:rPr>
        <w:t>Emirates</w:t>
      </w:r>
      <w:proofErr w:type="spellEnd"/>
      <w:r w:rsidRPr="00BF3381">
        <w:rPr>
          <w:rFonts w:ascii="Century Gothic" w:eastAsia="Century Gothic" w:hAnsi="Century Gothic" w:cs="Century Gothic"/>
          <w:sz w:val="22"/>
          <w:szCs w:val="22"/>
        </w:rPr>
        <w:t xml:space="preserve"> adapta su selección de vinos a seis regiones: Reino Unido y Estados Unidos, Europa, África, Oriente Medio, Australasia y Asia. Este enfoque permite a </w:t>
      </w:r>
      <w:proofErr w:type="spellStart"/>
      <w:r w:rsidRPr="00BF3381">
        <w:rPr>
          <w:rFonts w:ascii="Century Gothic" w:eastAsia="Century Gothic" w:hAnsi="Century Gothic" w:cs="Century Gothic"/>
          <w:sz w:val="22"/>
          <w:szCs w:val="22"/>
        </w:rPr>
        <w:t>Emirates</w:t>
      </w:r>
      <w:proofErr w:type="spellEnd"/>
      <w:r w:rsidRPr="00BF3381">
        <w:rPr>
          <w:rFonts w:ascii="Century Gothic" w:eastAsia="Century Gothic" w:hAnsi="Century Gothic" w:cs="Century Gothic"/>
          <w:sz w:val="22"/>
          <w:szCs w:val="22"/>
        </w:rPr>
        <w:t xml:space="preserve"> ofrecer vinos estrechamente alineados con las preferencias gustativas de los pasajeros de estas </w:t>
      </w:r>
      <w:r w:rsidRPr="00A807F6">
        <w:rPr>
          <w:rFonts w:ascii="Century Gothic" w:eastAsia="Century Gothic" w:hAnsi="Century Gothic" w:cs="Century Gothic"/>
          <w:sz w:val="22"/>
          <w:szCs w:val="22"/>
        </w:rPr>
        <w:t xml:space="preserve">regiones, y </w:t>
      </w:r>
      <w:r w:rsidR="004B267A" w:rsidRPr="00A807F6">
        <w:rPr>
          <w:rFonts w:ascii="Century Gothic" w:eastAsia="Century Gothic" w:hAnsi="Century Gothic" w:cs="Century Gothic"/>
          <w:sz w:val="22"/>
          <w:szCs w:val="22"/>
        </w:rPr>
        <w:t>da la oportunidad</w:t>
      </w:r>
      <w:r w:rsidRPr="00A807F6">
        <w:rPr>
          <w:rFonts w:ascii="Century Gothic" w:eastAsia="Century Gothic" w:hAnsi="Century Gothic" w:cs="Century Gothic"/>
          <w:sz w:val="22"/>
          <w:szCs w:val="22"/>
        </w:rPr>
        <w:t xml:space="preserve"> a los viajeros </w:t>
      </w:r>
      <w:r w:rsidR="004B267A" w:rsidRPr="00A807F6">
        <w:rPr>
          <w:rFonts w:ascii="Century Gothic" w:eastAsia="Century Gothic" w:hAnsi="Century Gothic" w:cs="Century Gothic"/>
          <w:sz w:val="22"/>
          <w:szCs w:val="22"/>
        </w:rPr>
        <w:t xml:space="preserve">de </w:t>
      </w:r>
      <w:r w:rsidRPr="00A807F6">
        <w:rPr>
          <w:rFonts w:ascii="Century Gothic" w:eastAsia="Century Gothic" w:hAnsi="Century Gothic" w:cs="Century Gothic"/>
          <w:sz w:val="22"/>
          <w:szCs w:val="22"/>
        </w:rPr>
        <w:t xml:space="preserve">degustar vinos excepcionales de las regiones que van a visitar. </w:t>
      </w:r>
      <w:r w:rsidR="00192ACC" w:rsidRPr="00A807F6">
        <w:rPr>
          <w:rFonts w:ascii="Century Gothic" w:eastAsia="Century Gothic" w:hAnsi="Century Gothic" w:cs="Century Gothic"/>
          <w:sz w:val="22"/>
          <w:szCs w:val="22"/>
        </w:rPr>
        <w:t>En la nueva carta de vinos figura un</w:t>
      </w:r>
      <w:r w:rsidR="00192ACC" w:rsidRPr="004B267A">
        <w:rPr>
          <w:rFonts w:ascii="Century Gothic" w:eastAsia="Century Gothic" w:hAnsi="Century Gothic" w:cs="Century Gothic"/>
          <w:sz w:val="22"/>
          <w:szCs w:val="22"/>
        </w:rPr>
        <w:t xml:space="preserve"> gran vino de España de la  D.O. Ribera del Duero, el “Pesquera Reserva 2019”.</w:t>
      </w:r>
      <w:r w:rsidR="00192ACC" w:rsidRPr="00192ACC">
        <w:rPr>
          <w:rFonts w:ascii="Century Gothic" w:eastAsia="Century Gothic" w:hAnsi="Century Gothic" w:cs="Century Gothic"/>
          <w:sz w:val="22"/>
          <w:szCs w:val="22"/>
        </w:rPr>
        <w:t xml:space="preserve">  </w:t>
      </w:r>
      <w:proofErr w:type="spellStart"/>
      <w:r w:rsidRPr="00BF3381">
        <w:rPr>
          <w:rFonts w:ascii="Century Gothic" w:eastAsia="Century Gothic" w:hAnsi="Century Gothic" w:cs="Century Gothic"/>
          <w:sz w:val="22"/>
          <w:szCs w:val="22"/>
        </w:rPr>
        <w:t>Emirates</w:t>
      </w:r>
      <w:proofErr w:type="spellEnd"/>
      <w:r w:rsidRPr="00BF3381">
        <w:rPr>
          <w:rFonts w:ascii="Century Gothic" w:eastAsia="Century Gothic" w:hAnsi="Century Gothic" w:cs="Century Gothic"/>
          <w:sz w:val="22"/>
          <w:szCs w:val="22"/>
        </w:rPr>
        <w:t xml:space="preserve"> también ofrece vinos de Oporto de primera calidad, incluidos </w:t>
      </w:r>
      <w:proofErr w:type="spellStart"/>
      <w:r w:rsidRPr="004B267A">
        <w:rPr>
          <w:rFonts w:ascii="Century Gothic" w:eastAsia="Century Gothic" w:hAnsi="Century Gothic" w:cs="Century Gothic"/>
          <w:i/>
          <w:sz w:val="22"/>
          <w:szCs w:val="22"/>
        </w:rPr>
        <w:t>Tawny</w:t>
      </w:r>
      <w:proofErr w:type="spellEnd"/>
      <w:r w:rsidRPr="004B267A">
        <w:rPr>
          <w:rFonts w:ascii="Century Gothic" w:eastAsia="Century Gothic" w:hAnsi="Century Gothic" w:cs="Century Gothic"/>
          <w:i/>
          <w:sz w:val="22"/>
          <w:szCs w:val="22"/>
        </w:rPr>
        <w:t xml:space="preserve"> </w:t>
      </w:r>
      <w:proofErr w:type="spellStart"/>
      <w:r w:rsidRPr="004B267A">
        <w:rPr>
          <w:rFonts w:ascii="Century Gothic" w:eastAsia="Century Gothic" w:hAnsi="Century Gothic" w:cs="Century Gothic"/>
          <w:i/>
          <w:sz w:val="22"/>
          <w:szCs w:val="22"/>
        </w:rPr>
        <w:t>Ports</w:t>
      </w:r>
      <w:proofErr w:type="spellEnd"/>
      <w:r w:rsidRPr="00BF3381">
        <w:rPr>
          <w:rFonts w:ascii="Century Gothic" w:eastAsia="Century Gothic" w:hAnsi="Century Gothic" w:cs="Century Gothic"/>
          <w:sz w:val="22"/>
          <w:szCs w:val="22"/>
        </w:rPr>
        <w:t xml:space="preserve"> añejos como el </w:t>
      </w:r>
      <w:r w:rsidR="004B267A">
        <w:rPr>
          <w:rFonts w:ascii="Century Gothic" w:eastAsia="Century Gothic" w:hAnsi="Century Gothic" w:cs="Century Gothic"/>
          <w:sz w:val="22"/>
          <w:szCs w:val="22"/>
        </w:rPr>
        <w:t>“</w:t>
      </w:r>
      <w:proofErr w:type="spellStart"/>
      <w:r w:rsidRPr="00BF3381">
        <w:rPr>
          <w:rFonts w:ascii="Century Gothic" w:eastAsia="Century Gothic" w:hAnsi="Century Gothic" w:cs="Century Gothic"/>
          <w:sz w:val="22"/>
          <w:szCs w:val="22"/>
        </w:rPr>
        <w:t>Graham's</w:t>
      </w:r>
      <w:proofErr w:type="spellEnd"/>
      <w:r w:rsidRPr="00BF3381">
        <w:rPr>
          <w:rFonts w:ascii="Century Gothic" w:eastAsia="Century Gothic" w:hAnsi="Century Gothic" w:cs="Century Gothic"/>
          <w:sz w:val="22"/>
          <w:szCs w:val="22"/>
        </w:rPr>
        <w:t xml:space="preserve"> de 1979</w:t>
      </w:r>
      <w:r w:rsidR="004B267A">
        <w:rPr>
          <w:rFonts w:ascii="Century Gothic" w:eastAsia="Century Gothic" w:hAnsi="Century Gothic" w:cs="Century Gothic"/>
          <w:sz w:val="22"/>
          <w:szCs w:val="22"/>
        </w:rPr>
        <w:t>”</w:t>
      </w:r>
      <w:r w:rsidRPr="00BF3381">
        <w:rPr>
          <w:rFonts w:ascii="Century Gothic" w:eastAsia="Century Gothic" w:hAnsi="Century Gothic" w:cs="Century Gothic"/>
          <w:sz w:val="22"/>
          <w:szCs w:val="22"/>
        </w:rPr>
        <w:t xml:space="preserve"> y el </w:t>
      </w:r>
      <w:r w:rsidR="004B267A">
        <w:rPr>
          <w:rFonts w:ascii="Century Gothic" w:eastAsia="Century Gothic" w:hAnsi="Century Gothic" w:cs="Century Gothic"/>
          <w:sz w:val="22"/>
          <w:szCs w:val="22"/>
        </w:rPr>
        <w:t>“</w:t>
      </w:r>
      <w:proofErr w:type="spellStart"/>
      <w:r w:rsidRPr="00BF3381">
        <w:rPr>
          <w:rFonts w:ascii="Century Gothic" w:eastAsia="Century Gothic" w:hAnsi="Century Gothic" w:cs="Century Gothic"/>
          <w:sz w:val="22"/>
          <w:szCs w:val="22"/>
        </w:rPr>
        <w:t>Dow's</w:t>
      </w:r>
      <w:proofErr w:type="spellEnd"/>
      <w:r w:rsidRPr="00BF3381">
        <w:rPr>
          <w:rFonts w:ascii="Century Gothic" w:eastAsia="Century Gothic" w:hAnsi="Century Gothic" w:cs="Century Gothic"/>
          <w:sz w:val="22"/>
          <w:szCs w:val="22"/>
        </w:rPr>
        <w:t xml:space="preserve"> de 1981</w:t>
      </w:r>
      <w:r w:rsidR="004B267A">
        <w:rPr>
          <w:rFonts w:ascii="Century Gothic" w:eastAsia="Century Gothic" w:hAnsi="Century Gothic" w:cs="Century Gothic"/>
          <w:sz w:val="22"/>
          <w:szCs w:val="22"/>
        </w:rPr>
        <w:t>”</w:t>
      </w:r>
      <w:r w:rsidRPr="00BF3381">
        <w:rPr>
          <w:rFonts w:ascii="Century Gothic" w:eastAsia="Century Gothic" w:hAnsi="Century Gothic" w:cs="Century Gothic"/>
          <w:sz w:val="22"/>
          <w:szCs w:val="22"/>
        </w:rPr>
        <w:t>.</w:t>
      </w:r>
    </w:p>
    <w:p w14:paraId="71BB38B3" w14:textId="77777777" w:rsidR="00BF3381" w:rsidRPr="00BF3381" w:rsidRDefault="00BF3381" w:rsidP="00BF338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3381">
        <w:rPr>
          <w:rFonts w:ascii="Century Gothic" w:eastAsia="Century Gothic" w:hAnsi="Century Gothic" w:cs="Century Gothic"/>
          <w:sz w:val="22"/>
          <w:szCs w:val="22"/>
        </w:rPr>
        <w:t xml:space="preserve">Desde 2006, </w:t>
      </w:r>
      <w:proofErr w:type="spellStart"/>
      <w:r w:rsidRPr="00BF3381">
        <w:rPr>
          <w:rFonts w:ascii="Century Gothic" w:eastAsia="Century Gothic" w:hAnsi="Century Gothic" w:cs="Century Gothic"/>
          <w:sz w:val="22"/>
          <w:szCs w:val="22"/>
        </w:rPr>
        <w:t>Emirates</w:t>
      </w:r>
      <w:proofErr w:type="spellEnd"/>
      <w:r w:rsidRPr="00BF3381">
        <w:rPr>
          <w:rFonts w:ascii="Century Gothic" w:eastAsia="Century Gothic" w:hAnsi="Century Gothic" w:cs="Century Gothic"/>
          <w:sz w:val="22"/>
          <w:szCs w:val="22"/>
        </w:rPr>
        <w:t xml:space="preserve"> ha invertido más de mil millones de dólares en su programa vinícola. En 2022, </w:t>
      </w:r>
      <w:proofErr w:type="spellStart"/>
      <w:r w:rsidRPr="00BF3381">
        <w:rPr>
          <w:rFonts w:ascii="Century Gothic" w:eastAsia="Century Gothic" w:hAnsi="Century Gothic" w:cs="Century Gothic"/>
          <w:sz w:val="22"/>
          <w:szCs w:val="22"/>
        </w:rPr>
        <w:t>Emirates</w:t>
      </w:r>
      <w:proofErr w:type="spellEnd"/>
      <w:r w:rsidRPr="00BF3381">
        <w:rPr>
          <w:rFonts w:ascii="Century Gothic" w:eastAsia="Century Gothic" w:hAnsi="Century Gothic" w:cs="Century Gothic"/>
          <w:sz w:val="22"/>
          <w:szCs w:val="22"/>
        </w:rPr>
        <w:t xml:space="preserve"> también invirtió 2.000 millones de dólares para mejorar la experiencia del cliente a bordo, incluyendo un programa masivo para modernizar más de 120 aviones con los últimos interiores, además de una serie de iniciativas que incluyen nuevos menús de alta cocina, platos veganos elaborados, un menú de aperitivos de cine, caviar ilimitado en Primera Clase y un programa de formación especializado en hospitalidad para la tripulación de cabina, ayudándoles a crear momentos memorables para los clientes.</w:t>
      </w:r>
    </w:p>
    <w:p w14:paraId="66AAE21F" w14:textId="058B0EB1" w:rsidR="006D2437" w:rsidRDefault="00BF3381" w:rsidP="00BF338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3381">
        <w:rPr>
          <w:rFonts w:ascii="Century Gothic" w:eastAsia="Century Gothic" w:hAnsi="Century Gothic" w:cs="Century Gothic"/>
          <w:sz w:val="22"/>
          <w:szCs w:val="22"/>
        </w:rPr>
        <w:t xml:space="preserve"> Más información</w:t>
      </w:r>
      <w:r w:rsidR="006D2437">
        <w:rPr>
          <w:rFonts w:ascii="Century Gothic" w:eastAsia="Century Gothic" w:hAnsi="Century Gothic" w:cs="Century Gothic"/>
          <w:sz w:val="22"/>
          <w:szCs w:val="22"/>
        </w:rPr>
        <w:t xml:space="preserve"> en </w:t>
      </w:r>
      <w:hyperlink r:id="rId8" w:history="1">
        <w:r w:rsidR="006D2437" w:rsidRPr="004E6028">
          <w:rPr>
            <w:rStyle w:val="Hipervnculo"/>
            <w:rFonts w:ascii="Century Gothic" w:eastAsia="Century Gothic" w:hAnsi="Century Gothic" w:cs="Century Gothic"/>
            <w:sz w:val="22"/>
            <w:szCs w:val="22"/>
          </w:rPr>
          <w:t>emirates.com</w:t>
        </w:r>
      </w:hyperlink>
    </w:p>
    <w:p w14:paraId="00D96267" w14:textId="2EA0CD28" w:rsidR="006D2437" w:rsidRDefault="006D2437" w:rsidP="00BF3381">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6791B27F" w14:textId="77777777" w:rsidR="000D6774" w:rsidRDefault="000D6774" w:rsidP="000D677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36C8793E" w14:textId="21B6BD8F" w:rsidR="00D23EFB" w:rsidRPr="00E80D5A" w:rsidRDefault="00D23EFB" w:rsidP="000D677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B6B8C">
        <w:rPr>
          <w:rFonts w:ascii="Century Gothic" w:hAnsi="Century Gothic"/>
          <w:b/>
          <w:bCs/>
          <w:i/>
          <w:iCs/>
          <w:color w:val="000000"/>
          <w:sz w:val="18"/>
          <w:szCs w:val="18"/>
        </w:rPr>
        <w:lastRenderedPageBreak/>
        <w:t xml:space="preserve">Acerca de </w:t>
      </w:r>
      <w:proofErr w:type="spellStart"/>
      <w:r w:rsidRPr="005B6B8C">
        <w:rPr>
          <w:rFonts w:ascii="Century Gothic" w:hAnsi="Century Gothic"/>
          <w:b/>
          <w:bCs/>
          <w:i/>
          <w:iCs/>
          <w:color w:val="000000"/>
          <w:sz w:val="18"/>
          <w:szCs w:val="18"/>
        </w:rPr>
        <w:t>Emirates</w:t>
      </w:r>
      <w:proofErr w:type="spellEnd"/>
    </w:p>
    <w:p w14:paraId="1A18E1D5" w14:textId="4BC1DF2F" w:rsidR="003F4A04" w:rsidRDefault="00D23EFB" w:rsidP="00442AC8">
      <w:pPr>
        <w:pBdr>
          <w:top w:val="nil"/>
          <w:left w:val="nil"/>
          <w:bottom w:val="nil"/>
          <w:right w:val="nil"/>
          <w:between w:val="nil"/>
        </w:pBdr>
        <w:spacing w:before="280" w:line="360" w:lineRule="auto"/>
        <w:jc w:val="both"/>
        <w:rPr>
          <w:rFonts w:ascii="Century Gothic" w:hAnsi="Century Gothic"/>
          <w:sz w:val="18"/>
          <w:szCs w:val="18"/>
        </w:rPr>
      </w:pP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la mayor aerolínea internacional de pasajeros, opera en España desde 2010. La compañía conecta a los viajeros españoles a través de su </w:t>
      </w:r>
      <w:proofErr w:type="spellStart"/>
      <w:r w:rsidRPr="00006FF4">
        <w:rPr>
          <w:rFonts w:ascii="Century Gothic" w:hAnsi="Century Gothic"/>
          <w:sz w:val="18"/>
          <w:szCs w:val="18"/>
        </w:rPr>
        <w:t>hub</w:t>
      </w:r>
      <w:proofErr w:type="spellEnd"/>
      <w:r w:rsidRPr="00006FF4">
        <w:rPr>
          <w:rFonts w:ascii="Century Gothic" w:hAnsi="Century Gothic"/>
          <w:sz w:val="18"/>
          <w:szCs w:val="18"/>
        </w:rPr>
        <w:t xml:space="preserve"> global en Dubái con más de 130 destinos en todo el mundo.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une Dubái con Madrid y Barcelona, así como también Ciudad de México vía Barcelona.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ha conseguido el reconocimiento a la "Mejor Primera Clase del Mundo" en los premios Tripadvisor </w:t>
      </w:r>
      <w:proofErr w:type="spellStart"/>
      <w:r w:rsidRPr="00006FF4">
        <w:rPr>
          <w:rFonts w:ascii="Century Gothic" w:hAnsi="Century Gothic"/>
          <w:sz w:val="18"/>
          <w:szCs w:val="18"/>
        </w:rPr>
        <w:t>Travelers</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para aerolíneas en 2020; los galardones al "Mejor </w:t>
      </w:r>
      <w:proofErr w:type="spellStart"/>
      <w:r w:rsidRPr="00006FF4">
        <w:rPr>
          <w:rFonts w:ascii="Century Gothic" w:hAnsi="Century Gothic"/>
          <w:sz w:val="18"/>
          <w:szCs w:val="18"/>
        </w:rPr>
        <w:t>Wi</w:t>
      </w:r>
      <w:proofErr w:type="spellEnd"/>
      <w:r w:rsidRPr="00006FF4">
        <w:rPr>
          <w:rFonts w:ascii="Century Gothic" w:hAnsi="Century Gothic"/>
          <w:sz w:val="18"/>
          <w:szCs w:val="18"/>
        </w:rPr>
        <w:t xml:space="preserve">-Fi y Mejor Comida y Bebida" en Oriente Medio en los APEX Regional Passenger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2022; "Mejor Entretenimiento a </w:t>
      </w:r>
      <w:proofErr w:type="spellStart"/>
      <w:r w:rsidRPr="00006FF4">
        <w:rPr>
          <w:rFonts w:ascii="Century Gothic" w:hAnsi="Century Gothic"/>
          <w:sz w:val="18"/>
          <w:szCs w:val="18"/>
        </w:rPr>
        <w:t>Bordo"en</w:t>
      </w:r>
      <w:proofErr w:type="spellEnd"/>
      <w:r w:rsidRPr="00006FF4">
        <w:rPr>
          <w:rFonts w:ascii="Century Gothic" w:hAnsi="Century Gothic"/>
          <w:sz w:val="18"/>
          <w:szCs w:val="18"/>
        </w:rPr>
        <w:t xml:space="preserve"> los premios Business </w:t>
      </w:r>
      <w:proofErr w:type="spellStart"/>
      <w:r w:rsidRPr="00006FF4">
        <w:rPr>
          <w:rFonts w:ascii="Century Gothic" w:hAnsi="Century Gothic"/>
          <w:sz w:val="18"/>
          <w:szCs w:val="18"/>
        </w:rPr>
        <w:t>Traveller</w:t>
      </w:r>
      <w:proofErr w:type="spellEnd"/>
      <w:r w:rsidRPr="00006FF4">
        <w:rPr>
          <w:rFonts w:ascii="Century Gothic" w:hAnsi="Century Gothic"/>
          <w:sz w:val="18"/>
          <w:szCs w:val="18"/>
        </w:rPr>
        <w:t xml:space="preserve"> de 2020; y "Mejor Aerolínea del Mundo en Entretenimiento a Bordo" en los premios </w:t>
      </w:r>
      <w:proofErr w:type="spellStart"/>
      <w:r w:rsidRPr="00006FF4">
        <w:rPr>
          <w:rFonts w:ascii="Century Gothic" w:hAnsi="Century Gothic"/>
          <w:sz w:val="18"/>
          <w:szCs w:val="18"/>
        </w:rPr>
        <w:t>SkyTrax</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World</w:t>
      </w:r>
      <w:proofErr w:type="spellEnd"/>
      <w:r w:rsidRPr="00006FF4">
        <w:rPr>
          <w:rFonts w:ascii="Century Gothic" w:hAnsi="Century Gothic"/>
          <w:sz w:val="18"/>
          <w:szCs w:val="18"/>
        </w:rPr>
        <w:t xml:space="preserve"> Airlines de 2022.</w:t>
      </w:r>
    </w:p>
    <w:sectPr w:rsidR="003F4A04">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9EA20" w14:textId="77777777" w:rsidR="004656DB" w:rsidRDefault="004656DB">
      <w:r>
        <w:separator/>
      </w:r>
    </w:p>
  </w:endnote>
  <w:endnote w:type="continuationSeparator" w:id="0">
    <w:p w14:paraId="7D6C4DC3" w14:textId="77777777" w:rsidR="004656DB" w:rsidRDefault="0046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42174" w14:textId="77777777" w:rsidR="004656DB" w:rsidRDefault="004656DB">
      <w:r>
        <w:separator/>
      </w:r>
    </w:p>
  </w:footnote>
  <w:footnote w:type="continuationSeparator" w:id="0">
    <w:p w14:paraId="34214DB2" w14:textId="77777777" w:rsidR="004656DB" w:rsidRDefault="0046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25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eastAsia="es-ES_tradnl"/>
      </w:rPr>
      <w:drawing>
        <wp:anchor distT="0" distB="0" distL="0" distR="0" simplePos="0" relativeHeight="251658240" behindDoc="0" locked="0" layoutInCell="1" hidden="0" allowOverlap="1" wp14:anchorId="121DB0E9" wp14:editId="1818A23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DE46FB7"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0F9E81DF"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4EE8F8F0"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5AA3007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3A563ABD"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80B"/>
    <w:multiLevelType w:val="hybridMultilevel"/>
    <w:tmpl w:val="76D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5435B1"/>
    <w:multiLevelType w:val="hybridMultilevel"/>
    <w:tmpl w:val="19FE7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F33B37"/>
    <w:multiLevelType w:val="hybridMultilevel"/>
    <w:tmpl w:val="CC4868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F413B2"/>
    <w:multiLevelType w:val="hybridMultilevel"/>
    <w:tmpl w:val="4BA6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0532E7"/>
    <w:multiLevelType w:val="hybridMultilevel"/>
    <w:tmpl w:val="1D9673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E461603"/>
    <w:multiLevelType w:val="hybridMultilevel"/>
    <w:tmpl w:val="40742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1557C78"/>
    <w:multiLevelType w:val="hybridMultilevel"/>
    <w:tmpl w:val="D94AA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7D7220"/>
    <w:multiLevelType w:val="hybridMultilevel"/>
    <w:tmpl w:val="EDE03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E33833"/>
    <w:multiLevelType w:val="hybridMultilevel"/>
    <w:tmpl w:val="5BC61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BE01CD"/>
    <w:multiLevelType w:val="hybridMultilevel"/>
    <w:tmpl w:val="8B4C8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F44A92"/>
    <w:multiLevelType w:val="hybridMultilevel"/>
    <w:tmpl w:val="EBFE1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CA774F"/>
    <w:multiLevelType w:val="hybridMultilevel"/>
    <w:tmpl w:val="D20CD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A4A05B6"/>
    <w:multiLevelType w:val="hybridMultilevel"/>
    <w:tmpl w:val="A7EE0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E96618"/>
    <w:multiLevelType w:val="hybridMultilevel"/>
    <w:tmpl w:val="C9369890"/>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B5764A9"/>
    <w:multiLevelType w:val="hybridMultilevel"/>
    <w:tmpl w:val="DAF2F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B94772C"/>
    <w:multiLevelType w:val="hybridMultilevel"/>
    <w:tmpl w:val="A5D456F2"/>
    <w:lvl w:ilvl="0" w:tplc="931AE64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0AD0857"/>
    <w:multiLevelType w:val="hybridMultilevel"/>
    <w:tmpl w:val="1E60C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ABC074E"/>
    <w:multiLevelType w:val="hybridMultilevel"/>
    <w:tmpl w:val="B35090EA"/>
    <w:lvl w:ilvl="0" w:tplc="C74E70DA">
      <w:start w:val="1"/>
      <w:numFmt w:val="bullet"/>
      <w:lvlText w:val=""/>
      <w:lvlJc w:val="left"/>
      <w:pPr>
        <w:ind w:left="360" w:hanging="360"/>
      </w:pPr>
      <w:rPr>
        <w:rFonts w:ascii="Symbol" w:hAnsi="Symbol" w:hint="default"/>
      </w:rPr>
    </w:lvl>
    <w:lvl w:ilvl="1" w:tplc="D60AF342">
      <w:start w:val="1"/>
      <w:numFmt w:val="bullet"/>
      <w:lvlText w:val="o"/>
      <w:lvlJc w:val="left"/>
      <w:pPr>
        <w:ind w:left="1080" w:hanging="360"/>
      </w:pPr>
      <w:rPr>
        <w:rFonts w:ascii="Courier New" w:hAnsi="Courier New" w:cs="Times New Roman" w:hint="default"/>
      </w:rPr>
    </w:lvl>
    <w:lvl w:ilvl="2" w:tplc="EDF2F4A4">
      <w:start w:val="1"/>
      <w:numFmt w:val="bullet"/>
      <w:lvlText w:val=""/>
      <w:lvlJc w:val="left"/>
      <w:pPr>
        <w:ind w:left="1800" w:hanging="360"/>
      </w:pPr>
      <w:rPr>
        <w:rFonts w:ascii="Wingdings" w:hAnsi="Wingdings" w:hint="default"/>
      </w:rPr>
    </w:lvl>
    <w:lvl w:ilvl="3" w:tplc="F392E946">
      <w:start w:val="1"/>
      <w:numFmt w:val="bullet"/>
      <w:lvlText w:val=""/>
      <w:lvlJc w:val="left"/>
      <w:pPr>
        <w:ind w:left="2520" w:hanging="360"/>
      </w:pPr>
      <w:rPr>
        <w:rFonts w:ascii="Symbol" w:hAnsi="Symbol" w:hint="default"/>
      </w:rPr>
    </w:lvl>
    <w:lvl w:ilvl="4" w:tplc="AEDE30E4">
      <w:start w:val="1"/>
      <w:numFmt w:val="bullet"/>
      <w:lvlText w:val="o"/>
      <w:lvlJc w:val="left"/>
      <w:pPr>
        <w:ind w:left="3240" w:hanging="360"/>
      </w:pPr>
      <w:rPr>
        <w:rFonts w:ascii="Courier New" w:hAnsi="Courier New" w:cs="Times New Roman" w:hint="default"/>
      </w:rPr>
    </w:lvl>
    <w:lvl w:ilvl="5" w:tplc="F7C4AD6E">
      <w:start w:val="1"/>
      <w:numFmt w:val="bullet"/>
      <w:lvlText w:val=""/>
      <w:lvlJc w:val="left"/>
      <w:pPr>
        <w:ind w:left="3960" w:hanging="360"/>
      </w:pPr>
      <w:rPr>
        <w:rFonts w:ascii="Wingdings" w:hAnsi="Wingdings" w:hint="default"/>
      </w:rPr>
    </w:lvl>
    <w:lvl w:ilvl="6" w:tplc="FBD8208A">
      <w:start w:val="1"/>
      <w:numFmt w:val="bullet"/>
      <w:lvlText w:val=""/>
      <w:lvlJc w:val="left"/>
      <w:pPr>
        <w:ind w:left="4680" w:hanging="360"/>
      </w:pPr>
      <w:rPr>
        <w:rFonts w:ascii="Symbol" w:hAnsi="Symbol" w:hint="default"/>
      </w:rPr>
    </w:lvl>
    <w:lvl w:ilvl="7" w:tplc="AEA80796">
      <w:start w:val="1"/>
      <w:numFmt w:val="bullet"/>
      <w:lvlText w:val="o"/>
      <w:lvlJc w:val="left"/>
      <w:pPr>
        <w:ind w:left="5400" w:hanging="360"/>
      </w:pPr>
      <w:rPr>
        <w:rFonts w:ascii="Courier New" w:hAnsi="Courier New" w:cs="Times New Roman" w:hint="default"/>
      </w:rPr>
    </w:lvl>
    <w:lvl w:ilvl="8" w:tplc="8646CFB2">
      <w:start w:val="1"/>
      <w:numFmt w:val="bullet"/>
      <w:lvlText w:val=""/>
      <w:lvlJc w:val="left"/>
      <w:pPr>
        <w:ind w:left="6120" w:hanging="360"/>
      </w:pPr>
      <w:rPr>
        <w:rFonts w:ascii="Wingdings" w:hAnsi="Wingdings" w:hint="default"/>
      </w:rPr>
    </w:lvl>
  </w:abstractNum>
  <w:abstractNum w:abstractNumId="18" w15:restartNumberingAfterBreak="0">
    <w:nsid w:val="3D2D2EAB"/>
    <w:multiLevelType w:val="hybridMultilevel"/>
    <w:tmpl w:val="2640A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737EF9"/>
    <w:multiLevelType w:val="hybridMultilevel"/>
    <w:tmpl w:val="CB121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1924799"/>
    <w:multiLevelType w:val="hybridMultilevel"/>
    <w:tmpl w:val="1E200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3055D0C"/>
    <w:multiLevelType w:val="hybridMultilevel"/>
    <w:tmpl w:val="AF200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60404D"/>
    <w:multiLevelType w:val="hybridMultilevel"/>
    <w:tmpl w:val="1D2ED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0AE58A9"/>
    <w:multiLevelType w:val="hybridMultilevel"/>
    <w:tmpl w:val="3CB67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23B79BB"/>
    <w:multiLevelType w:val="hybridMultilevel"/>
    <w:tmpl w:val="CAD00942"/>
    <w:lvl w:ilvl="0" w:tplc="9A9CDA2E">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8F4996"/>
    <w:multiLevelType w:val="multilevel"/>
    <w:tmpl w:val="71E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035CBA"/>
    <w:multiLevelType w:val="hybridMultilevel"/>
    <w:tmpl w:val="1AFC8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79E1EF7"/>
    <w:multiLevelType w:val="hybridMultilevel"/>
    <w:tmpl w:val="8D14A66E"/>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F8E2527"/>
    <w:multiLevelType w:val="hybridMultilevel"/>
    <w:tmpl w:val="DFEAD2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15:restartNumberingAfterBreak="0">
    <w:nsid w:val="61D87265"/>
    <w:multiLevelType w:val="hybridMultilevel"/>
    <w:tmpl w:val="005C08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2830473"/>
    <w:multiLevelType w:val="hybridMultilevel"/>
    <w:tmpl w:val="D4E4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C390A60"/>
    <w:multiLevelType w:val="hybridMultilevel"/>
    <w:tmpl w:val="5EEE5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C47692"/>
    <w:multiLevelType w:val="hybridMultilevel"/>
    <w:tmpl w:val="0A301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EB97EE5"/>
    <w:multiLevelType w:val="hybridMultilevel"/>
    <w:tmpl w:val="E43C5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0814B59"/>
    <w:multiLevelType w:val="hybridMultilevel"/>
    <w:tmpl w:val="9CFE6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3461D04"/>
    <w:multiLevelType w:val="hybridMultilevel"/>
    <w:tmpl w:val="D8BE8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37531B2"/>
    <w:multiLevelType w:val="hybridMultilevel"/>
    <w:tmpl w:val="FC06312C"/>
    <w:lvl w:ilvl="0" w:tplc="0816819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56906A7"/>
    <w:multiLevelType w:val="hybridMultilevel"/>
    <w:tmpl w:val="B324F1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3E4928"/>
    <w:multiLevelType w:val="hybridMultilevel"/>
    <w:tmpl w:val="7346A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BD41E8"/>
    <w:multiLevelType w:val="hybridMultilevel"/>
    <w:tmpl w:val="D960C7D0"/>
    <w:lvl w:ilvl="0" w:tplc="CC1CD73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D347954"/>
    <w:multiLevelType w:val="hybridMultilevel"/>
    <w:tmpl w:val="257A3E2A"/>
    <w:lvl w:ilvl="0" w:tplc="7660E614">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163306">
    <w:abstractNumId w:val="23"/>
  </w:num>
  <w:num w:numId="2" w16cid:durableId="939022917">
    <w:abstractNumId w:val="1"/>
  </w:num>
  <w:num w:numId="3" w16cid:durableId="1953514713">
    <w:abstractNumId w:val="30"/>
  </w:num>
  <w:num w:numId="4" w16cid:durableId="1178545681">
    <w:abstractNumId w:val="38"/>
  </w:num>
  <w:num w:numId="5" w16cid:durableId="885331593">
    <w:abstractNumId w:val="16"/>
  </w:num>
  <w:num w:numId="6" w16cid:durableId="1884322565">
    <w:abstractNumId w:val="19"/>
  </w:num>
  <w:num w:numId="7" w16cid:durableId="420760687">
    <w:abstractNumId w:val="6"/>
  </w:num>
  <w:num w:numId="8" w16cid:durableId="1072237585">
    <w:abstractNumId w:val="3"/>
  </w:num>
  <w:num w:numId="9" w16cid:durableId="793787535">
    <w:abstractNumId w:val="18"/>
  </w:num>
  <w:num w:numId="10" w16cid:durableId="680619957">
    <w:abstractNumId w:val="9"/>
  </w:num>
  <w:num w:numId="11" w16cid:durableId="2121758561">
    <w:abstractNumId w:val="31"/>
  </w:num>
  <w:num w:numId="12" w16cid:durableId="475416592">
    <w:abstractNumId w:val="13"/>
  </w:num>
  <w:num w:numId="13" w16cid:durableId="779765175">
    <w:abstractNumId w:val="0"/>
  </w:num>
  <w:num w:numId="14" w16cid:durableId="1384251954">
    <w:abstractNumId w:val="27"/>
  </w:num>
  <w:num w:numId="15" w16cid:durableId="577327438">
    <w:abstractNumId w:val="5"/>
  </w:num>
  <w:num w:numId="16" w16cid:durableId="585577464">
    <w:abstractNumId w:val="26"/>
  </w:num>
  <w:num w:numId="17" w16cid:durableId="684094641">
    <w:abstractNumId w:val="15"/>
  </w:num>
  <w:num w:numId="18" w16cid:durableId="1781991267">
    <w:abstractNumId w:val="17"/>
  </w:num>
  <w:num w:numId="19" w16cid:durableId="1480031127">
    <w:abstractNumId w:val="22"/>
  </w:num>
  <w:num w:numId="20" w16cid:durableId="1276057003">
    <w:abstractNumId w:val="36"/>
  </w:num>
  <w:num w:numId="21" w16cid:durableId="982122978">
    <w:abstractNumId w:val="25"/>
  </w:num>
  <w:num w:numId="22" w16cid:durableId="1634093050">
    <w:abstractNumId w:val="8"/>
  </w:num>
  <w:num w:numId="23" w16cid:durableId="188497864">
    <w:abstractNumId w:val="40"/>
  </w:num>
  <w:num w:numId="24" w16cid:durableId="1837381851">
    <w:abstractNumId w:val="11"/>
  </w:num>
  <w:num w:numId="25" w16cid:durableId="798184567">
    <w:abstractNumId w:val="21"/>
  </w:num>
  <w:num w:numId="26" w16cid:durableId="368800389">
    <w:abstractNumId w:val="29"/>
  </w:num>
  <w:num w:numId="27" w16cid:durableId="2120172677">
    <w:abstractNumId w:val="32"/>
  </w:num>
  <w:num w:numId="28" w16cid:durableId="791022613">
    <w:abstractNumId w:val="14"/>
  </w:num>
  <w:num w:numId="29" w16cid:durableId="832183811">
    <w:abstractNumId w:val="12"/>
  </w:num>
  <w:num w:numId="30" w16cid:durableId="710115209">
    <w:abstractNumId w:val="34"/>
  </w:num>
  <w:num w:numId="31" w16cid:durableId="1303267574">
    <w:abstractNumId w:val="28"/>
  </w:num>
  <w:num w:numId="32" w16cid:durableId="177355712">
    <w:abstractNumId w:val="20"/>
  </w:num>
  <w:num w:numId="33" w16cid:durableId="1845128429">
    <w:abstractNumId w:val="4"/>
  </w:num>
  <w:num w:numId="34" w16cid:durableId="777918880">
    <w:abstractNumId w:val="39"/>
  </w:num>
  <w:num w:numId="35" w16cid:durableId="1970503611">
    <w:abstractNumId w:val="33"/>
  </w:num>
  <w:num w:numId="36" w16cid:durableId="2137522837">
    <w:abstractNumId w:val="24"/>
  </w:num>
  <w:num w:numId="37" w16cid:durableId="34425213">
    <w:abstractNumId w:val="10"/>
  </w:num>
  <w:num w:numId="38" w16cid:durableId="613441312">
    <w:abstractNumId w:val="7"/>
  </w:num>
  <w:num w:numId="39" w16cid:durableId="1880704830">
    <w:abstractNumId w:val="37"/>
  </w:num>
  <w:num w:numId="40" w16cid:durableId="279143951">
    <w:abstractNumId w:val="35"/>
  </w:num>
  <w:num w:numId="41" w16cid:durableId="174105212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43"/>
    <w:rsid w:val="0000539C"/>
    <w:rsid w:val="00006FDA"/>
    <w:rsid w:val="00006FF4"/>
    <w:rsid w:val="00012918"/>
    <w:rsid w:val="00015383"/>
    <w:rsid w:val="000239CB"/>
    <w:rsid w:val="00023D84"/>
    <w:rsid w:val="000260E0"/>
    <w:rsid w:val="000271F4"/>
    <w:rsid w:val="000402EF"/>
    <w:rsid w:val="000410F6"/>
    <w:rsid w:val="000432EF"/>
    <w:rsid w:val="00043867"/>
    <w:rsid w:val="00050E06"/>
    <w:rsid w:val="00055AD9"/>
    <w:rsid w:val="00060C51"/>
    <w:rsid w:val="00064553"/>
    <w:rsid w:val="000853F3"/>
    <w:rsid w:val="000A39DE"/>
    <w:rsid w:val="000B1D7E"/>
    <w:rsid w:val="000B5326"/>
    <w:rsid w:val="000C07A6"/>
    <w:rsid w:val="000C1207"/>
    <w:rsid w:val="000D6774"/>
    <w:rsid w:val="000F743E"/>
    <w:rsid w:val="000F7496"/>
    <w:rsid w:val="00110197"/>
    <w:rsid w:val="00110718"/>
    <w:rsid w:val="001403D6"/>
    <w:rsid w:val="00140AA3"/>
    <w:rsid w:val="00145785"/>
    <w:rsid w:val="00145EB2"/>
    <w:rsid w:val="001479FF"/>
    <w:rsid w:val="00154171"/>
    <w:rsid w:val="00160A10"/>
    <w:rsid w:val="001660B6"/>
    <w:rsid w:val="001863FF"/>
    <w:rsid w:val="00192ACC"/>
    <w:rsid w:val="00193A82"/>
    <w:rsid w:val="001974B7"/>
    <w:rsid w:val="001B4DB2"/>
    <w:rsid w:val="001C24A2"/>
    <w:rsid w:val="001D76BA"/>
    <w:rsid w:val="001E37DC"/>
    <w:rsid w:val="001E3B85"/>
    <w:rsid w:val="001E52EF"/>
    <w:rsid w:val="001E7F8A"/>
    <w:rsid w:val="001F3924"/>
    <w:rsid w:val="001F605E"/>
    <w:rsid w:val="001F7B48"/>
    <w:rsid w:val="001F7E8B"/>
    <w:rsid w:val="002160CD"/>
    <w:rsid w:val="00223176"/>
    <w:rsid w:val="00234733"/>
    <w:rsid w:val="002646AE"/>
    <w:rsid w:val="00265AA2"/>
    <w:rsid w:val="0026755D"/>
    <w:rsid w:val="002908E7"/>
    <w:rsid w:val="00294E59"/>
    <w:rsid w:val="00295808"/>
    <w:rsid w:val="00295B9C"/>
    <w:rsid w:val="0029607A"/>
    <w:rsid w:val="002A06F3"/>
    <w:rsid w:val="002A1461"/>
    <w:rsid w:val="002A2D67"/>
    <w:rsid w:val="002A2DFE"/>
    <w:rsid w:val="002A482B"/>
    <w:rsid w:val="002A62DB"/>
    <w:rsid w:val="002A6CCB"/>
    <w:rsid w:val="002A73B2"/>
    <w:rsid w:val="002A786B"/>
    <w:rsid w:val="002B6AC1"/>
    <w:rsid w:val="002C62F3"/>
    <w:rsid w:val="002C6890"/>
    <w:rsid w:val="002C73EF"/>
    <w:rsid w:val="002D29F2"/>
    <w:rsid w:val="002D2C6A"/>
    <w:rsid w:val="002D2DBE"/>
    <w:rsid w:val="002E3EC4"/>
    <w:rsid w:val="002E6A20"/>
    <w:rsid w:val="002F4720"/>
    <w:rsid w:val="00301541"/>
    <w:rsid w:val="00301C62"/>
    <w:rsid w:val="00302983"/>
    <w:rsid w:val="003038DE"/>
    <w:rsid w:val="003134A3"/>
    <w:rsid w:val="003247C8"/>
    <w:rsid w:val="00330FE4"/>
    <w:rsid w:val="0033632E"/>
    <w:rsid w:val="003370E8"/>
    <w:rsid w:val="00384822"/>
    <w:rsid w:val="00394D2F"/>
    <w:rsid w:val="00397720"/>
    <w:rsid w:val="003A4A5C"/>
    <w:rsid w:val="003A4DE9"/>
    <w:rsid w:val="003B54E1"/>
    <w:rsid w:val="003C1602"/>
    <w:rsid w:val="003C55D3"/>
    <w:rsid w:val="003E7D4F"/>
    <w:rsid w:val="003F1CC2"/>
    <w:rsid w:val="003F2D42"/>
    <w:rsid w:val="003F4A04"/>
    <w:rsid w:val="003F525C"/>
    <w:rsid w:val="004036C3"/>
    <w:rsid w:val="00406D2D"/>
    <w:rsid w:val="00415DDA"/>
    <w:rsid w:val="00424CE5"/>
    <w:rsid w:val="00427D37"/>
    <w:rsid w:val="004302A0"/>
    <w:rsid w:val="004348AD"/>
    <w:rsid w:val="004359F3"/>
    <w:rsid w:val="0043636C"/>
    <w:rsid w:val="00442AC8"/>
    <w:rsid w:val="004463DB"/>
    <w:rsid w:val="004503C4"/>
    <w:rsid w:val="004619F4"/>
    <w:rsid w:val="004656DB"/>
    <w:rsid w:val="00467FC0"/>
    <w:rsid w:val="004869AB"/>
    <w:rsid w:val="00487B45"/>
    <w:rsid w:val="0049415E"/>
    <w:rsid w:val="004958F6"/>
    <w:rsid w:val="004B267A"/>
    <w:rsid w:val="004B3905"/>
    <w:rsid w:val="004B7808"/>
    <w:rsid w:val="004C0E4A"/>
    <w:rsid w:val="004C6B52"/>
    <w:rsid w:val="004D058A"/>
    <w:rsid w:val="004D0A64"/>
    <w:rsid w:val="004D2D10"/>
    <w:rsid w:val="004D3D46"/>
    <w:rsid w:val="004D63EE"/>
    <w:rsid w:val="004E0FC1"/>
    <w:rsid w:val="004E376A"/>
    <w:rsid w:val="004E6028"/>
    <w:rsid w:val="004E718C"/>
    <w:rsid w:val="004F1ACA"/>
    <w:rsid w:val="004F1B85"/>
    <w:rsid w:val="00504FB1"/>
    <w:rsid w:val="0051250F"/>
    <w:rsid w:val="00526FE3"/>
    <w:rsid w:val="0053218D"/>
    <w:rsid w:val="0053341E"/>
    <w:rsid w:val="0053455C"/>
    <w:rsid w:val="00535C30"/>
    <w:rsid w:val="00537F8C"/>
    <w:rsid w:val="00540427"/>
    <w:rsid w:val="00542BF7"/>
    <w:rsid w:val="00544759"/>
    <w:rsid w:val="00546B8D"/>
    <w:rsid w:val="00547BC9"/>
    <w:rsid w:val="00550AB2"/>
    <w:rsid w:val="005647D6"/>
    <w:rsid w:val="00564DC6"/>
    <w:rsid w:val="00567D43"/>
    <w:rsid w:val="005710F6"/>
    <w:rsid w:val="0057559C"/>
    <w:rsid w:val="00577896"/>
    <w:rsid w:val="00581370"/>
    <w:rsid w:val="00586EB7"/>
    <w:rsid w:val="00590D02"/>
    <w:rsid w:val="00591453"/>
    <w:rsid w:val="005920FE"/>
    <w:rsid w:val="0059329F"/>
    <w:rsid w:val="005A45F1"/>
    <w:rsid w:val="005B3F5C"/>
    <w:rsid w:val="005B4F04"/>
    <w:rsid w:val="005B6B8C"/>
    <w:rsid w:val="005B74EC"/>
    <w:rsid w:val="005C0FC0"/>
    <w:rsid w:val="005D0B1B"/>
    <w:rsid w:val="005D616B"/>
    <w:rsid w:val="005E7808"/>
    <w:rsid w:val="0060304F"/>
    <w:rsid w:val="0061323B"/>
    <w:rsid w:val="006132E5"/>
    <w:rsid w:val="00620B74"/>
    <w:rsid w:val="00632FE8"/>
    <w:rsid w:val="00635496"/>
    <w:rsid w:val="00640633"/>
    <w:rsid w:val="006450D3"/>
    <w:rsid w:val="00653D03"/>
    <w:rsid w:val="006549AA"/>
    <w:rsid w:val="00666F66"/>
    <w:rsid w:val="006725F7"/>
    <w:rsid w:val="00672ADE"/>
    <w:rsid w:val="0068306D"/>
    <w:rsid w:val="00684BD5"/>
    <w:rsid w:val="0069157E"/>
    <w:rsid w:val="00695203"/>
    <w:rsid w:val="00696011"/>
    <w:rsid w:val="006C648E"/>
    <w:rsid w:val="006D2437"/>
    <w:rsid w:val="006E2AA9"/>
    <w:rsid w:val="006E6470"/>
    <w:rsid w:val="006F4A52"/>
    <w:rsid w:val="006F5E7C"/>
    <w:rsid w:val="006F6505"/>
    <w:rsid w:val="0070316A"/>
    <w:rsid w:val="007035DE"/>
    <w:rsid w:val="00710B15"/>
    <w:rsid w:val="00711132"/>
    <w:rsid w:val="00712685"/>
    <w:rsid w:val="00712E39"/>
    <w:rsid w:val="00714138"/>
    <w:rsid w:val="00722030"/>
    <w:rsid w:val="0072472C"/>
    <w:rsid w:val="00726B6A"/>
    <w:rsid w:val="00743F8B"/>
    <w:rsid w:val="007469FB"/>
    <w:rsid w:val="00747141"/>
    <w:rsid w:val="00747A4D"/>
    <w:rsid w:val="00752867"/>
    <w:rsid w:val="00754BB0"/>
    <w:rsid w:val="00760957"/>
    <w:rsid w:val="00761AA8"/>
    <w:rsid w:val="00763262"/>
    <w:rsid w:val="00764E7A"/>
    <w:rsid w:val="00776E4D"/>
    <w:rsid w:val="00786664"/>
    <w:rsid w:val="00795B5B"/>
    <w:rsid w:val="007A0C50"/>
    <w:rsid w:val="007A15B6"/>
    <w:rsid w:val="007A4FDF"/>
    <w:rsid w:val="007A6960"/>
    <w:rsid w:val="007B372D"/>
    <w:rsid w:val="007B6A3A"/>
    <w:rsid w:val="007C181B"/>
    <w:rsid w:val="007C4388"/>
    <w:rsid w:val="007D41D9"/>
    <w:rsid w:val="007E7562"/>
    <w:rsid w:val="007F1F51"/>
    <w:rsid w:val="007F433A"/>
    <w:rsid w:val="007F464E"/>
    <w:rsid w:val="007F589E"/>
    <w:rsid w:val="0080082D"/>
    <w:rsid w:val="008070D5"/>
    <w:rsid w:val="00811BF6"/>
    <w:rsid w:val="00817634"/>
    <w:rsid w:val="00824312"/>
    <w:rsid w:val="0083718E"/>
    <w:rsid w:val="00846DB8"/>
    <w:rsid w:val="00850387"/>
    <w:rsid w:val="00866567"/>
    <w:rsid w:val="00866F5D"/>
    <w:rsid w:val="0087321A"/>
    <w:rsid w:val="008935BD"/>
    <w:rsid w:val="008A54E4"/>
    <w:rsid w:val="008B0AB1"/>
    <w:rsid w:val="008B384A"/>
    <w:rsid w:val="008B6BA9"/>
    <w:rsid w:val="008C0ACE"/>
    <w:rsid w:val="008D2D53"/>
    <w:rsid w:val="00910BCC"/>
    <w:rsid w:val="00921108"/>
    <w:rsid w:val="00923754"/>
    <w:rsid w:val="00926B1E"/>
    <w:rsid w:val="00930F2F"/>
    <w:rsid w:val="009359C9"/>
    <w:rsid w:val="009368A3"/>
    <w:rsid w:val="00941C6A"/>
    <w:rsid w:val="00945642"/>
    <w:rsid w:val="00953CA0"/>
    <w:rsid w:val="00961D3A"/>
    <w:rsid w:val="00962C21"/>
    <w:rsid w:val="00963B0C"/>
    <w:rsid w:val="00967C4B"/>
    <w:rsid w:val="009720EC"/>
    <w:rsid w:val="00974225"/>
    <w:rsid w:val="00984125"/>
    <w:rsid w:val="0098707F"/>
    <w:rsid w:val="009922DC"/>
    <w:rsid w:val="00993334"/>
    <w:rsid w:val="00993A44"/>
    <w:rsid w:val="00994E44"/>
    <w:rsid w:val="009A2E3F"/>
    <w:rsid w:val="009B08C1"/>
    <w:rsid w:val="009C4D50"/>
    <w:rsid w:val="009E3FC5"/>
    <w:rsid w:val="009E408C"/>
    <w:rsid w:val="009E65F9"/>
    <w:rsid w:val="009E6650"/>
    <w:rsid w:val="00A160EA"/>
    <w:rsid w:val="00A4027F"/>
    <w:rsid w:val="00A5677A"/>
    <w:rsid w:val="00A66270"/>
    <w:rsid w:val="00A807F6"/>
    <w:rsid w:val="00A815A8"/>
    <w:rsid w:val="00A9542F"/>
    <w:rsid w:val="00A95EDF"/>
    <w:rsid w:val="00AA1F84"/>
    <w:rsid w:val="00AA528F"/>
    <w:rsid w:val="00AB6686"/>
    <w:rsid w:val="00AD07AC"/>
    <w:rsid w:val="00AD0D3D"/>
    <w:rsid w:val="00AD2351"/>
    <w:rsid w:val="00AD5B6E"/>
    <w:rsid w:val="00AD73D2"/>
    <w:rsid w:val="00AE0C97"/>
    <w:rsid w:val="00AE67FC"/>
    <w:rsid w:val="00B03856"/>
    <w:rsid w:val="00B064BE"/>
    <w:rsid w:val="00B1607A"/>
    <w:rsid w:val="00B26B9A"/>
    <w:rsid w:val="00B31B60"/>
    <w:rsid w:val="00B5210E"/>
    <w:rsid w:val="00B55897"/>
    <w:rsid w:val="00B61BA3"/>
    <w:rsid w:val="00B62943"/>
    <w:rsid w:val="00B70056"/>
    <w:rsid w:val="00B72415"/>
    <w:rsid w:val="00B74206"/>
    <w:rsid w:val="00B80603"/>
    <w:rsid w:val="00BA29EB"/>
    <w:rsid w:val="00BB195F"/>
    <w:rsid w:val="00BB4981"/>
    <w:rsid w:val="00BD7246"/>
    <w:rsid w:val="00BD7A89"/>
    <w:rsid w:val="00BE26B2"/>
    <w:rsid w:val="00BE5F6F"/>
    <w:rsid w:val="00BE7A09"/>
    <w:rsid w:val="00BF3381"/>
    <w:rsid w:val="00BF4F73"/>
    <w:rsid w:val="00C02948"/>
    <w:rsid w:val="00C131E7"/>
    <w:rsid w:val="00C16EAF"/>
    <w:rsid w:val="00C178DA"/>
    <w:rsid w:val="00C17DF2"/>
    <w:rsid w:val="00C22E8E"/>
    <w:rsid w:val="00C23C0E"/>
    <w:rsid w:val="00C24770"/>
    <w:rsid w:val="00C41071"/>
    <w:rsid w:val="00C549CD"/>
    <w:rsid w:val="00C569D4"/>
    <w:rsid w:val="00C64D13"/>
    <w:rsid w:val="00C81AE0"/>
    <w:rsid w:val="00C84397"/>
    <w:rsid w:val="00CA0696"/>
    <w:rsid w:val="00CA1FDF"/>
    <w:rsid w:val="00CA3AA5"/>
    <w:rsid w:val="00CC1493"/>
    <w:rsid w:val="00CC460D"/>
    <w:rsid w:val="00CC5E2E"/>
    <w:rsid w:val="00CC71E5"/>
    <w:rsid w:val="00CD0A84"/>
    <w:rsid w:val="00CD114B"/>
    <w:rsid w:val="00CD4807"/>
    <w:rsid w:val="00CE21D5"/>
    <w:rsid w:val="00CE37B8"/>
    <w:rsid w:val="00CF2185"/>
    <w:rsid w:val="00CF271E"/>
    <w:rsid w:val="00CF7799"/>
    <w:rsid w:val="00CF7C5F"/>
    <w:rsid w:val="00D15796"/>
    <w:rsid w:val="00D21BF8"/>
    <w:rsid w:val="00D23EFB"/>
    <w:rsid w:val="00D27FAB"/>
    <w:rsid w:val="00D56531"/>
    <w:rsid w:val="00D57A85"/>
    <w:rsid w:val="00D63AB6"/>
    <w:rsid w:val="00D66C88"/>
    <w:rsid w:val="00D70576"/>
    <w:rsid w:val="00DA06CF"/>
    <w:rsid w:val="00DA2733"/>
    <w:rsid w:val="00DA48B1"/>
    <w:rsid w:val="00DB0F6A"/>
    <w:rsid w:val="00DB56D1"/>
    <w:rsid w:val="00DC04CB"/>
    <w:rsid w:val="00DC72EA"/>
    <w:rsid w:val="00DD000F"/>
    <w:rsid w:val="00DD451C"/>
    <w:rsid w:val="00DD6103"/>
    <w:rsid w:val="00DE1EEA"/>
    <w:rsid w:val="00DE2F50"/>
    <w:rsid w:val="00DF2530"/>
    <w:rsid w:val="00DF46DA"/>
    <w:rsid w:val="00DF5543"/>
    <w:rsid w:val="00DF571C"/>
    <w:rsid w:val="00DF604B"/>
    <w:rsid w:val="00DF728F"/>
    <w:rsid w:val="00DF7E60"/>
    <w:rsid w:val="00E0011F"/>
    <w:rsid w:val="00E055D3"/>
    <w:rsid w:val="00E10940"/>
    <w:rsid w:val="00E14F5E"/>
    <w:rsid w:val="00E2456D"/>
    <w:rsid w:val="00E266B3"/>
    <w:rsid w:val="00E35C5F"/>
    <w:rsid w:val="00E42AB3"/>
    <w:rsid w:val="00E66269"/>
    <w:rsid w:val="00E66B6C"/>
    <w:rsid w:val="00E71104"/>
    <w:rsid w:val="00E80D5A"/>
    <w:rsid w:val="00E8459C"/>
    <w:rsid w:val="00E85FB5"/>
    <w:rsid w:val="00E871CC"/>
    <w:rsid w:val="00E95062"/>
    <w:rsid w:val="00E97643"/>
    <w:rsid w:val="00EB7E1B"/>
    <w:rsid w:val="00EC0AAB"/>
    <w:rsid w:val="00EC7343"/>
    <w:rsid w:val="00EC77D6"/>
    <w:rsid w:val="00EE101E"/>
    <w:rsid w:val="00EE3A4A"/>
    <w:rsid w:val="00EE4DA7"/>
    <w:rsid w:val="00EE7956"/>
    <w:rsid w:val="00EE7E7E"/>
    <w:rsid w:val="00EF4B9F"/>
    <w:rsid w:val="00EF5604"/>
    <w:rsid w:val="00F0077B"/>
    <w:rsid w:val="00F0102D"/>
    <w:rsid w:val="00F01E8A"/>
    <w:rsid w:val="00F055FF"/>
    <w:rsid w:val="00F11407"/>
    <w:rsid w:val="00F24CF6"/>
    <w:rsid w:val="00F2678C"/>
    <w:rsid w:val="00F41259"/>
    <w:rsid w:val="00F55242"/>
    <w:rsid w:val="00F6755F"/>
    <w:rsid w:val="00F67605"/>
    <w:rsid w:val="00F728B8"/>
    <w:rsid w:val="00F75CB8"/>
    <w:rsid w:val="00F82CE3"/>
    <w:rsid w:val="00F859F8"/>
    <w:rsid w:val="00F8784A"/>
    <w:rsid w:val="00F91E26"/>
    <w:rsid w:val="00F92AA9"/>
    <w:rsid w:val="00F947C8"/>
    <w:rsid w:val="00FA43D5"/>
    <w:rsid w:val="00FA4666"/>
    <w:rsid w:val="00FB452F"/>
    <w:rsid w:val="00FC7B45"/>
    <w:rsid w:val="00FD4287"/>
    <w:rsid w:val="00FE0B64"/>
    <w:rsid w:val="00FE1B0D"/>
    <w:rsid w:val="00FE29BB"/>
    <w:rsid w:val="00FE3ECB"/>
    <w:rsid w:val="00FE5853"/>
    <w:rsid w:val="00FF475B"/>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0E9"/>
  <w15:docId w15:val="{700CFC64-0F5F-4E05-B69A-A0D7412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customStyle="1" w:styleId="Mencinsinresolver2">
    <w:name w:val="Mención sin resolver2"/>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paragraph" w:styleId="Asuntodelcomentario">
    <w:name w:val="annotation subject"/>
    <w:basedOn w:val="Textocomentario"/>
    <w:next w:val="Textocomentario"/>
    <w:link w:val="AsuntodelcomentarioCar"/>
    <w:uiPriority w:val="99"/>
    <w:semiHidden/>
    <w:unhideWhenUsed/>
    <w:rsid w:val="004B267A"/>
    <w:pPr>
      <w:spacing w:after="0"/>
    </w:pPr>
    <w:rPr>
      <w:rFonts w:ascii="Times New Roman" w:eastAsia="Times New Roman" w:hAnsi="Times New Roman" w:cs="Times New Roman"/>
      <w:b/>
      <w:bCs/>
      <w:lang w:val="es-ES" w:eastAsia="en-GB"/>
    </w:rPr>
  </w:style>
  <w:style w:type="character" w:customStyle="1" w:styleId="AsuntodelcomentarioCar">
    <w:name w:val="Asunto del comentario Car"/>
    <w:basedOn w:val="TextocomentarioCar"/>
    <w:link w:val="Asuntodelcomentario"/>
    <w:uiPriority w:val="99"/>
    <w:semiHidden/>
    <w:rsid w:val="004B267A"/>
    <w:rPr>
      <w:rFonts w:asciiTheme="minorHAnsi" w:eastAsiaTheme="minorEastAsia" w:hAnsiTheme="minorHAnsi" w:cstheme="minorBidi"/>
      <w:b/>
      <w:bCs/>
      <w:sz w:val="20"/>
      <w:szCs w:val="20"/>
      <w:lang w:val="en-GB" w:eastAsia="zh-CN"/>
    </w:rPr>
  </w:style>
  <w:style w:type="paragraph" w:styleId="Textodeglobo">
    <w:name w:val="Balloon Text"/>
    <w:basedOn w:val="Normal"/>
    <w:link w:val="TextodegloboCar"/>
    <w:uiPriority w:val="99"/>
    <w:semiHidden/>
    <w:unhideWhenUsed/>
    <w:rsid w:val="004B267A"/>
    <w:rPr>
      <w:sz w:val="18"/>
      <w:szCs w:val="18"/>
    </w:rPr>
  </w:style>
  <w:style w:type="character" w:customStyle="1" w:styleId="TextodegloboCar">
    <w:name w:val="Texto de globo Car"/>
    <w:basedOn w:val="Fuentedeprrafopredeter"/>
    <w:link w:val="Textodeglobo"/>
    <w:uiPriority w:val="99"/>
    <w:semiHidden/>
    <w:rsid w:val="004B267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2866">
      <w:bodyDiv w:val="1"/>
      <w:marLeft w:val="0"/>
      <w:marRight w:val="0"/>
      <w:marTop w:val="0"/>
      <w:marBottom w:val="0"/>
      <w:divBdr>
        <w:top w:val="none" w:sz="0" w:space="0" w:color="auto"/>
        <w:left w:val="none" w:sz="0" w:space="0" w:color="auto"/>
        <w:bottom w:val="none" w:sz="0" w:space="0" w:color="auto"/>
        <w:right w:val="none" w:sz="0" w:space="0" w:color="auto"/>
      </w:divBdr>
    </w:div>
    <w:div w:id="102389420">
      <w:bodyDiv w:val="1"/>
      <w:marLeft w:val="0"/>
      <w:marRight w:val="0"/>
      <w:marTop w:val="0"/>
      <w:marBottom w:val="0"/>
      <w:divBdr>
        <w:top w:val="none" w:sz="0" w:space="0" w:color="auto"/>
        <w:left w:val="none" w:sz="0" w:space="0" w:color="auto"/>
        <w:bottom w:val="none" w:sz="0" w:space="0" w:color="auto"/>
        <w:right w:val="none" w:sz="0" w:space="0" w:color="auto"/>
      </w:divBdr>
    </w:div>
    <w:div w:id="338699662">
      <w:bodyDiv w:val="1"/>
      <w:marLeft w:val="0"/>
      <w:marRight w:val="0"/>
      <w:marTop w:val="0"/>
      <w:marBottom w:val="0"/>
      <w:divBdr>
        <w:top w:val="none" w:sz="0" w:space="0" w:color="auto"/>
        <w:left w:val="none" w:sz="0" w:space="0" w:color="auto"/>
        <w:bottom w:val="none" w:sz="0" w:space="0" w:color="auto"/>
        <w:right w:val="none" w:sz="0" w:space="0" w:color="auto"/>
      </w:divBdr>
    </w:div>
    <w:div w:id="361135255">
      <w:bodyDiv w:val="1"/>
      <w:marLeft w:val="0"/>
      <w:marRight w:val="0"/>
      <w:marTop w:val="0"/>
      <w:marBottom w:val="0"/>
      <w:divBdr>
        <w:top w:val="none" w:sz="0" w:space="0" w:color="auto"/>
        <w:left w:val="none" w:sz="0" w:space="0" w:color="auto"/>
        <w:bottom w:val="none" w:sz="0" w:space="0" w:color="auto"/>
        <w:right w:val="none" w:sz="0" w:space="0" w:color="auto"/>
      </w:divBdr>
    </w:div>
    <w:div w:id="447940073">
      <w:bodyDiv w:val="1"/>
      <w:marLeft w:val="0"/>
      <w:marRight w:val="0"/>
      <w:marTop w:val="0"/>
      <w:marBottom w:val="0"/>
      <w:divBdr>
        <w:top w:val="none" w:sz="0" w:space="0" w:color="auto"/>
        <w:left w:val="none" w:sz="0" w:space="0" w:color="auto"/>
        <w:bottom w:val="none" w:sz="0" w:space="0" w:color="auto"/>
        <w:right w:val="none" w:sz="0" w:space="0" w:color="auto"/>
      </w:divBdr>
      <w:divsChild>
        <w:div w:id="1475221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24210">
              <w:marLeft w:val="0"/>
              <w:marRight w:val="0"/>
              <w:marTop w:val="0"/>
              <w:marBottom w:val="0"/>
              <w:divBdr>
                <w:top w:val="none" w:sz="0" w:space="0" w:color="auto"/>
                <w:left w:val="none" w:sz="0" w:space="0" w:color="auto"/>
                <w:bottom w:val="none" w:sz="0" w:space="0" w:color="auto"/>
                <w:right w:val="none" w:sz="0" w:space="0" w:color="auto"/>
              </w:divBdr>
              <w:divsChild>
                <w:div w:id="903636657">
                  <w:marLeft w:val="0"/>
                  <w:marRight w:val="0"/>
                  <w:marTop w:val="0"/>
                  <w:marBottom w:val="0"/>
                  <w:divBdr>
                    <w:top w:val="none" w:sz="0" w:space="0" w:color="auto"/>
                    <w:left w:val="none" w:sz="0" w:space="0" w:color="auto"/>
                    <w:bottom w:val="none" w:sz="0" w:space="0" w:color="auto"/>
                    <w:right w:val="none" w:sz="0" w:space="0" w:color="auto"/>
                  </w:divBdr>
                  <w:divsChild>
                    <w:div w:id="1180655884">
                      <w:marLeft w:val="0"/>
                      <w:marRight w:val="0"/>
                      <w:marTop w:val="0"/>
                      <w:marBottom w:val="0"/>
                      <w:divBdr>
                        <w:top w:val="none" w:sz="0" w:space="0" w:color="auto"/>
                        <w:left w:val="none" w:sz="0" w:space="0" w:color="auto"/>
                        <w:bottom w:val="none" w:sz="0" w:space="0" w:color="auto"/>
                        <w:right w:val="none" w:sz="0" w:space="0" w:color="auto"/>
                      </w:divBdr>
                      <w:divsChild>
                        <w:div w:id="579407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9290201">
      <w:bodyDiv w:val="1"/>
      <w:marLeft w:val="0"/>
      <w:marRight w:val="0"/>
      <w:marTop w:val="0"/>
      <w:marBottom w:val="0"/>
      <w:divBdr>
        <w:top w:val="none" w:sz="0" w:space="0" w:color="auto"/>
        <w:left w:val="none" w:sz="0" w:space="0" w:color="auto"/>
        <w:bottom w:val="none" w:sz="0" w:space="0" w:color="auto"/>
        <w:right w:val="none" w:sz="0" w:space="0" w:color="auto"/>
      </w:divBdr>
    </w:div>
    <w:div w:id="627517344">
      <w:bodyDiv w:val="1"/>
      <w:marLeft w:val="0"/>
      <w:marRight w:val="0"/>
      <w:marTop w:val="0"/>
      <w:marBottom w:val="0"/>
      <w:divBdr>
        <w:top w:val="none" w:sz="0" w:space="0" w:color="auto"/>
        <w:left w:val="none" w:sz="0" w:space="0" w:color="auto"/>
        <w:bottom w:val="none" w:sz="0" w:space="0" w:color="auto"/>
        <w:right w:val="none" w:sz="0" w:space="0" w:color="auto"/>
      </w:divBdr>
    </w:div>
    <w:div w:id="981732920">
      <w:bodyDiv w:val="1"/>
      <w:marLeft w:val="0"/>
      <w:marRight w:val="0"/>
      <w:marTop w:val="0"/>
      <w:marBottom w:val="0"/>
      <w:divBdr>
        <w:top w:val="none" w:sz="0" w:space="0" w:color="auto"/>
        <w:left w:val="none" w:sz="0" w:space="0" w:color="auto"/>
        <w:bottom w:val="none" w:sz="0" w:space="0" w:color="auto"/>
        <w:right w:val="none" w:sz="0" w:space="0" w:color="auto"/>
      </w:divBdr>
    </w:div>
    <w:div w:id="1191336278">
      <w:bodyDiv w:val="1"/>
      <w:marLeft w:val="0"/>
      <w:marRight w:val="0"/>
      <w:marTop w:val="0"/>
      <w:marBottom w:val="0"/>
      <w:divBdr>
        <w:top w:val="none" w:sz="0" w:space="0" w:color="auto"/>
        <w:left w:val="none" w:sz="0" w:space="0" w:color="auto"/>
        <w:bottom w:val="none" w:sz="0" w:space="0" w:color="auto"/>
        <w:right w:val="none" w:sz="0" w:space="0" w:color="auto"/>
      </w:divBdr>
    </w:div>
    <w:div w:id="1199657113">
      <w:bodyDiv w:val="1"/>
      <w:marLeft w:val="0"/>
      <w:marRight w:val="0"/>
      <w:marTop w:val="0"/>
      <w:marBottom w:val="0"/>
      <w:divBdr>
        <w:top w:val="none" w:sz="0" w:space="0" w:color="auto"/>
        <w:left w:val="none" w:sz="0" w:space="0" w:color="auto"/>
        <w:bottom w:val="none" w:sz="0" w:space="0" w:color="auto"/>
        <w:right w:val="none" w:sz="0" w:space="0" w:color="auto"/>
      </w:divBdr>
    </w:div>
    <w:div w:id="1224023957">
      <w:bodyDiv w:val="1"/>
      <w:marLeft w:val="0"/>
      <w:marRight w:val="0"/>
      <w:marTop w:val="0"/>
      <w:marBottom w:val="0"/>
      <w:divBdr>
        <w:top w:val="none" w:sz="0" w:space="0" w:color="auto"/>
        <w:left w:val="none" w:sz="0" w:space="0" w:color="auto"/>
        <w:bottom w:val="none" w:sz="0" w:space="0" w:color="auto"/>
        <w:right w:val="none" w:sz="0" w:space="0" w:color="auto"/>
      </w:divBdr>
    </w:div>
    <w:div w:id="1641500330">
      <w:bodyDiv w:val="1"/>
      <w:marLeft w:val="0"/>
      <w:marRight w:val="0"/>
      <w:marTop w:val="0"/>
      <w:marBottom w:val="0"/>
      <w:divBdr>
        <w:top w:val="none" w:sz="0" w:space="0" w:color="auto"/>
        <w:left w:val="none" w:sz="0" w:space="0" w:color="auto"/>
        <w:bottom w:val="none" w:sz="0" w:space="0" w:color="auto"/>
        <w:right w:val="none" w:sz="0" w:space="0" w:color="auto"/>
      </w:divBdr>
    </w:div>
    <w:div w:id="1687750725">
      <w:bodyDiv w:val="1"/>
      <w:marLeft w:val="0"/>
      <w:marRight w:val="0"/>
      <w:marTop w:val="0"/>
      <w:marBottom w:val="0"/>
      <w:divBdr>
        <w:top w:val="none" w:sz="0" w:space="0" w:color="auto"/>
        <w:left w:val="none" w:sz="0" w:space="0" w:color="auto"/>
        <w:bottom w:val="none" w:sz="0" w:space="0" w:color="auto"/>
        <w:right w:val="none" w:sz="0" w:space="0" w:color="auto"/>
      </w:divBdr>
    </w:div>
    <w:div w:id="1709724284">
      <w:bodyDiv w:val="1"/>
      <w:marLeft w:val="0"/>
      <w:marRight w:val="0"/>
      <w:marTop w:val="0"/>
      <w:marBottom w:val="0"/>
      <w:divBdr>
        <w:top w:val="none" w:sz="0" w:space="0" w:color="auto"/>
        <w:left w:val="none" w:sz="0" w:space="0" w:color="auto"/>
        <w:bottom w:val="none" w:sz="0" w:space="0" w:color="auto"/>
        <w:right w:val="none" w:sz="0" w:space="0" w:color="auto"/>
      </w:divBdr>
    </w:div>
    <w:div w:id="1802773066">
      <w:bodyDiv w:val="1"/>
      <w:marLeft w:val="0"/>
      <w:marRight w:val="0"/>
      <w:marTop w:val="0"/>
      <w:marBottom w:val="0"/>
      <w:divBdr>
        <w:top w:val="none" w:sz="0" w:space="0" w:color="auto"/>
        <w:left w:val="none" w:sz="0" w:space="0" w:color="auto"/>
        <w:bottom w:val="none" w:sz="0" w:space="0" w:color="auto"/>
        <w:right w:val="none" w:sz="0" w:space="0" w:color="auto"/>
      </w:divBdr>
    </w:div>
    <w:div w:id="1841695945">
      <w:bodyDiv w:val="1"/>
      <w:marLeft w:val="0"/>
      <w:marRight w:val="0"/>
      <w:marTop w:val="0"/>
      <w:marBottom w:val="0"/>
      <w:divBdr>
        <w:top w:val="none" w:sz="0" w:space="0" w:color="auto"/>
        <w:left w:val="none" w:sz="0" w:space="0" w:color="auto"/>
        <w:bottom w:val="none" w:sz="0" w:space="0" w:color="auto"/>
        <w:right w:val="none" w:sz="0" w:space="0" w:color="auto"/>
      </w:divBdr>
    </w:div>
    <w:div w:id="1847136499">
      <w:bodyDiv w:val="1"/>
      <w:marLeft w:val="0"/>
      <w:marRight w:val="0"/>
      <w:marTop w:val="0"/>
      <w:marBottom w:val="0"/>
      <w:divBdr>
        <w:top w:val="none" w:sz="0" w:space="0" w:color="auto"/>
        <w:left w:val="none" w:sz="0" w:space="0" w:color="auto"/>
        <w:bottom w:val="none" w:sz="0" w:space="0" w:color="auto"/>
        <w:right w:val="none" w:sz="0" w:space="0" w:color="auto"/>
      </w:divBdr>
    </w:div>
    <w:div w:id="1998337057">
      <w:bodyDiv w:val="1"/>
      <w:marLeft w:val="0"/>
      <w:marRight w:val="0"/>
      <w:marTop w:val="0"/>
      <w:marBottom w:val="0"/>
      <w:divBdr>
        <w:top w:val="none" w:sz="0" w:space="0" w:color="auto"/>
        <w:left w:val="none" w:sz="0" w:space="0" w:color="auto"/>
        <w:bottom w:val="none" w:sz="0" w:space="0" w:color="auto"/>
        <w:right w:val="none" w:sz="0" w:space="0" w:color="auto"/>
      </w:divBdr>
    </w:div>
    <w:div w:id="2049526179">
      <w:bodyDiv w:val="1"/>
      <w:marLeft w:val="0"/>
      <w:marRight w:val="0"/>
      <w:marTop w:val="0"/>
      <w:marBottom w:val="0"/>
      <w:divBdr>
        <w:top w:val="none" w:sz="0" w:space="0" w:color="auto"/>
        <w:left w:val="none" w:sz="0" w:space="0" w:color="auto"/>
        <w:bottom w:val="none" w:sz="0" w:space="0" w:color="auto"/>
        <w:right w:val="none" w:sz="0" w:space="0" w:color="auto"/>
      </w:divBdr>
    </w:div>
    <w:div w:id="2118215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irates.com/es/spanish/experience/drinks/" TargetMode="Externa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987</Words>
  <Characters>5225</Characters>
  <Application>Microsoft Office Word</Application>
  <DocSecurity>0</DocSecurity>
  <Lines>89</Lines>
  <Paragraphs>23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Marcel Solana</cp:lastModifiedBy>
  <cp:revision>5</cp:revision>
  <dcterms:created xsi:type="dcterms:W3CDTF">2023-12-12T11:15:00Z</dcterms:created>
  <dcterms:modified xsi:type="dcterms:W3CDTF">2023-12-12T11:22:00Z</dcterms:modified>
  <cp:category/>
</cp:coreProperties>
</file>