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17501" w14:textId="77777777" w:rsidR="007C4A37" w:rsidRDefault="00000000">
      <w:pPr>
        <w:pBdr>
          <w:top w:val="nil"/>
          <w:left w:val="nil"/>
          <w:bottom w:val="nil"/>
          <w:right w:val="nil"/>
          <w:between w:val="nil"/>
        </w:pBdr>
        <w:rPr>
          <w:color w:val="000000"/>
          <w:sz w:val="18"/>
          <w:szCs w:val="18"/>
        </w:rPr>
      </w:pPr>
      <w:r>
        <w:rPr>
          <w:color w:val="000000"/>
          <w:sz w:val="18"/>
          <w:szCs w:val="18"/>
        </w:rPr>
        <w:tab/>
      </w:r>
      <w:r>
        <w:rPr>
          <w:noProof/>
        </w:rPr>
        <w:drawing>
          <wp:anchor distT="0" distB="0" distL="114300" distR="114300" simplePos="0" relativeHeight="251658240" behindDoc="0" locked="0" layoutInCell="1" hidden="0" allowOverlap="1" wp14:anchorId="096D3888" wp14:editId="3E1E7FB0">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4F026122" w14:textId="77777777" w:rsidR="007C4A37" w:rsidRDefault="00000000">
      <w:pPr>
        <w:pBdr>
          <w:top w:val="nil"/>
          <w:left w:val="nil"/>
          <w:bottom w:val="nil"/>
          <w:right w:val="nil"/>
          <w:between w:val="nil"/>
        </w:pBdr>
        <w:ind w:left="-140"/>
        <w:jc w:val="right"/>
        <w:rPr>
          <w:color w:val="000000"/>
          <w:sz w:val="18"/>
          <w:szCs w:val="18"/>
        </w:rPr>
      </w:pPr>
      <w:r>
        <w:rPr>
          <w:color w:val="000000"/>
          <w:sz w:val="18"/>
          <w:szCs w:val="18"/>
        </w:rPr>
        <w:t xml:space="preserve">  </w:t>
      </w:r>
    </w:p>
    <w:p w14:paraId="295530EA" w14:textId="77777777" w:rsidR="007C4A37" w:rsidRDefault="007C4A37">
      <w:pPr>
        <w:pBdr>
          <w:top w:val="nil"/>
          <w:left w:val="nil"/>
          <w:bottom w:val="nil"/>
          <w:right w:val="nil"/>
          <w:between w:val="nil"/>
        </w:pBdr>
        <w:jc w:val="right"/>
        <w:rPr>
          <w:color w:val="000000"/>
          <w:sz w:val="18"/>
          <w:szCs w:val="18"/>
        </w:rPr>
      </w:pPr>
    </w:p>
    <w:p w14:paraId="44425980" w14:textId="77777777" w:rsidR="007C4A37" w:rsidRDefault="00000000">
      <w:pPr>
        <w:pBdr>
          <w:top w:val="nil"/>
          <w:left w:val="nil"/>
          <w:bottom w:val="nil"/>
          <w:right w:val="nil"/>
          <w:between w:val="nil"/>
        </w:pBdr>
        <w:jc w:val="right"/>
        <w:rPr>
          <w:color w:val="000000"/>
          <w:sz w:val="18"/>
          <w:szCs w:val="18"/>
        </w:rPr>
      </w:pPr>
      <w:r>
        <w:rPr>
          <w:color w:val="000000"/>
          <w:sz w:val="18"/>
          <w:szCs w:val="18"/>
        </w:rPr>
        <w:t>Reservas España, Tel. 91 375 41 46</w:t>
      </w:r>
    </w:p>
    <w:p w14:paraId="40704AD5" w14:textId="77777777" w:rsidR="007C4A37" w:rsidRDefault="00000000">
      <w:pPr>
        <w:pBdr>
          <w:top w:val="nil"/>
          <w:left w:val="nil"/>
          <w:bottom w:val="nil"/>
          <w:right w:val="nil"/>
          <w:between w:val="nil"/>
        </w:pBdr>
        <w:jc w:val="right"/>
        <w:rPr>
          <w:color w:val="0000FF"/>
          <w:sz w:val="18"/>
          <w:szCs w:val="18"/>
          <w:u w:val="single"/>
        </w:rPr>
      </w:pPr>
      <w:r>
        <w:rPr>
          <w:color w:val="000000"/>
          <w:sz w:val="18"/>
          <w:szCs w:val="18"/>
        </w:rPr>
        <w:t xml:space="preserve">Web: </w:t>
      </w:r>
      <w:r>
        <w:rPr>
          <w:color w:val="0000FF"/>
          <w:sz w:val="18"/>
          <w:szCs w:val="18"/>
          <w:u w:val="single"/>
        </w:rPr>
        <w:t>www.delta.com</w:t>
      </w:r>
    </w:p>
    <w:p w14:paraId="2EF3A439" w14:textId="77777777" w:rsidR="007C4A37" w:rsidRDefault="007C4A37">
      <w:pPr>
        <w:pBdr>
          <w:top w:val="nil"/>
          <w:left w:val="nil"/>
          <w:bottom w:val="nil"/>
          <w:right w:val="nil"/>
          <w:between w:val="nil"/>
        </w:pBdr>
        <w:rPr>
          <w:color w:val="000000"/>
          <w:sz w:val="18"/>
          <w:szCs w:val="18"/>
        </w:rPr>
      </w:pPr>
    </w:p>
    <w:p w14:paraId="53EFE630" w14:textId="77777777" w:rsidR="007C4A37" w:rsidRPr="008151DC" w:rsidRDefault="00000000">
      <w:pPr>
        <w:pBdr>
          <w:top w:val="nil"/>
          <w:left w:val="nil"/>
          <w:bottom w:val="nil"/>
          <w:right w:val="nil"/>
          <w:between w:val="nil"/>
        </w:pBdr>
        <w:rPr>
          <w:rFonts w:ascii="Century Gothic" w:eastAsia="Century Gothic" w:hAnsi="Century Gothic" w:cs="Century Gothic"/>
          <w:color w:val="000000"/>
          <w:sz w:val="18"/>
          <w:szCs w:val="18"/>
          <w:lang w:val="en-US"/>
        </w:rPr>
      </w:pPr>
      <w:proofErr w:type="spellStart"/>
      <w:r w:rsidRPr="008151DC">
        <w:rPr>
          <w:rFonts w:ascii="Century Gothic" w:eastAsia="Century Gothic" w:hAnsi="Century Gothic" w:cs="Century Gothic"/>
          <w:color w:val="000000"/>
          <w:sz w:val="18"/>
          <w:szCs w:val="18"/>
          <w:lang w:val="en-US"/>
        </w:rPr>
        <w:t>Sergat</w:t>
      </w:r>
      <w:proofErr w:type="spellEnd"/>
    </w:p>
    <w:p w14:paraId="355EA438" w14:textId="77777777" w:rsidR="007C4A37" w:rsidRPr="008151DC" w:rsidRDefault="00000000">
      <w:pPr>
        <w:pBdr>
          <w:top w:val="nil"/>
          <w:left w:val="nil"/>
          <w:bottom w:val="nil"/>
          <w:right w:val="nil"/>
          <w:between w:val="nil"/>
        </w:pBdr>
        <w:rPr>
          <w:rFonts w:ascii="Century Gothic" w:eastAsia="Century Gothic" w:hAnsi="Century Gothic" w:cs="Century Gothic"/>
          <w:color w:val="000000"/>
          <w:sz w:val="18"/>
          <w:szCs w:val="18"/>
          <w:lang w:val="en-US"/>
        </w:rPr>
      </w:pPr>
      <w:r w:rsidRPr="008151DC">
        <w:rPr>
          <w:rFonts w:ascii="Century Gothic" w:eastAsia="Century Gothic" w:hAnsi="Century Gothic" w:cs="Century Gothic"/>
          <w:color w:val="000000"/>
          <w:sz w:val="18"/>
          <w:szCs w:val="18"/>
          <w:lang w:val="en-US"/>
        </w:rPr>
        <w:t>Tel.: 93 414 02 10</w:t>
      </w:r>
    </w:p>
    <w:p w14:paraId="0ACEB796" w14:textId="77777777" w:rsidR="007C4A37" w:rsidRPr="008151DC" w:rsidRDefault="00000000">
      <w:pPr>
        <w:pBdr>
          <w:top w:val="nil"/>
          <w:left w:val="nil"/>
          <w:bottom w:val="nil"/>
          <w:right w:val="nil"/>
          <w:between w:val="nil"/>
        </w:pBdr>
        <w:rPr>
          <w:rFonts w:ascii="Century Gothic" w:eastAsia="Century Gothic" w:hAnsi="Century Gothic" w:cs="Century Gothic"/>
          <w:color w:val="000000"/>
          <w:sz w:val="18"/>
          <w:szCs w:val="18"/>
          <w:lang w:val="en-US"/>
        </w:rPr>
      </w:pPr>
      <w:r w:rsidRPr="008151DC">
        <w:rPr>
          <w:rFonts w:ascii="Century Gothic" w:eastAsia="Century Gothic" w:hAnsi="Century Gothic" w:cs="Century Gothic"/>
          <w:color w:val="000000"/>
          <w:sz w:val="18"/>
          <w:szCs w:val="18"/>
          <w:lang w:val="en-US"/>
        </w:rPr>
        <w:t xml:space="preserve">E-mail: </w:t>
      </w:r>
      <w:hyperlink r:id="rId8">
        <w:r w:rsidRPr="008151DC">
          <w:rPr>
            <w:rFonts w:ascii="Century Gothic" w:eastAsia="Century Gothic" w:hAnsi="Century Gothic" w:cs="Century Gothic"/>
            <w:color w:val="0000FF"/>
            <w:sz w:val="18"/>
            <w:szCs w:val="18"/>
            <w:u w:val="single"/>
            <w:lang w:val="en-US"/>
          </w:rPr>
          <w:t>prensa@sergat.com</w:t>
        </w:r>
      </w:hyperlink>
      <w:r w:rsidRPr="008151DC">
        <w:rPr>
          <w:rFonts w:ascii="Century Gothic" w:eastAsia="Century Gothic" w:hAnsi="Century Gothic" w:cs="Century Gothic"/>
          <w:color w:val="000000"/>
          <w:sz w:val="18"/>
          <w:szCs w:val="18"/>
          <w:lang w:val="en-US"/>
        </w:rPr>
        <w:t xml:space="preserve"> </w:t>
      </w:r>
    </w:p>
    <w:p w14:paraId="3765B4A8" w14:textId="77777777" w:rsidR="007C4A37" w:rsidRPr="008151DC" w:rsidRDefault="00000000">
      <w:pPr>
        <w:pBdr>
          <w:top w:val="nil"/>
          <w:left w:val="nil"/>
          <w:bottom w:val="nil"/>
          <w:right w:val="nil"/>
          <w:between w:val="nil"/>
        </w:pBdr>
        <w:spacing w:after="160"/>
        <w:jc w:val="center"/>
        <w:rPr>
          <w:rFonts w:ascii="Century Gothic" w:eastAsia="Century Gothic" w:hAnsi="Century Gothic" w:cs="Century Gothic"/>
          <w:color w:val="000000"/>
          <w:lang w:val="en-US"/>
        </w:rPr>
      </w:pPr>
      <w:bookmarkStart w:id="0" w:name="_heading=h.gjdgxs" w:colFirst="0" w:colLast="0"/>
      <w:bookmarkEnd w:id="0"/>
      <w:r w:rsidRPr="008151DC">
        <w:rPr>
          <w:rFonts w:ascii="Century Gothic" w:eastAsia="Century Gothic" w:hAnsi="Century Gothic" w:cs="Century Gothic"/>
          <w:b/>
          <w:color w:val="000000"/>
          <w:lang w:val="en-US"/>
        </w:rPr>
        <w:t xml:space="preserve"> </w:t>
      </w:r>
    </w:p>
    <w:p w14:paraId="53D06F97" w14:textId="77777777" w:rsidR="007C4A37" w:rsidRDefault="00000000">
      <w:pPr>
        <w:pBdr>
          <w:top w:val="nil"/>
          <w:left w:val="nil"/>
          <w:bottom w:val="nil"/>
          <w:right w:val="nil"/>
          <w:between w:val="nil"/>
        </w:pBdr>
        <w:spacing w:after="120"/>
        <w:rPr>
          <w:rFonts w:ascii="Century Gothic" w:eastAsia="Century Gothic" w:hAnsi="Century Gothic" w:cs="Century Gothic"/>
          <w:u w:val="single"/>
        </w:rPr>
      </w:pPr>
      <w:r>
        <w:rPr>
          <w:rFonts w:ascii="Century Gothic" w:eastAsia="Century Gothic" w:hAnsi="Century Gothic" w:cs="Century Gothic"/>
          <w:b/>
          <w:color w:val="000000"/>
          <w:u w:val="single"/>
        </w:rPr>
        <w:t>COMUNICADO DE PRENSA</w:t>
      </w:r>
    </w:p>
    <w:p w14:paraId="7E55D688" w14:textId="77777777" w:rsidR="007C4A37" w:rsidRDefault="007C4A37">
      <w:pPr>
        <w:pBdr>
          <w:top w:val="nil"/>
          <w:left w:val="nil"/>
          <w:bottom w:val="nil"/>
          <w:right w:val="nil"/>
          <w:between w:val="nil"/>
        </w:pBdr>
        <w:spacing w:after="120"/>
        <w:rPr>
          <w:rFonts w:ascii="Century Gothic" w:eastAsia="Century Gothic" w:hAnsi="Century Gothic" w:cs="Century Gothic"/>
          <w:u w:val="single"/>
        </w:rPr>
      </w:pPr>
    </w:p>
    <w:p w14:paraId="3E142813" w14:textId="77777777" w:rsidR="007C4A37" w:rsidRDefault="00000000">
      <w:pPr>
        <w:pBdr>
          <w:top w:val="nil"/>
          <w:left w:val="nil"/>
          <w:bottom w:val="nil"/>
          <w:right w:val="nil"/>
          <w:between w:val="nil"/>
        </w:pBdr>
        <w:spacing w:after="160" w:line="360" w:lineRule="auto"/>
        <w:jc w:val="center"/>
        <w:rPr>
          <w:rFonts w:ascii="Century Gothic" w:eastAsia="Century Gothic" w:hAnsi="Century Gothic" w:cs="Century Gothic"/>
          <w:sz w:val="20"/>
          <w:szCs w:val="20"/>
        </w:rPr>
      </w:pPr>
      <w:r>
        <w:rPr>
          <w:rFonts w:ascii="Century Gothic" w:eastAsia="Century Gothic" w:hAnsi="Century Gothic" w:cs="Century Gothic"/>
          <w:b/>
          <w:sz w:val="24"/>
          <w:szCs w:val="24"/>
        </w:rPr>
        <w:t>‘</w:t>
      </w:r>
      <w:proofErr w:type="spellStart"/>
      <w:r>
        <w:rPr>
          <w:rFonts w:ascii="Century Gothic" w:eastAsia="Century Gothic" w:hAnsi="Century Gothic" w:cs="Century Gothic"/>
          <w:b/>
          <w:sz w:val="24"/>
          <w:szCs w:val="24"/>
        </w:rPr>
        <w:t>The</w:t>
      </w:r>
      <w:proofErr w:type="spellEnd"/>
      <w:r>
        <w:rPr>
          <w:rFonts w:ascii="Century Gothic" w:eastAsia="Century Gothic" w:hAnsi="Century Gothic" w:cs="Century Gothic"/>
          <w:b/>
          <w:sz w:val="24"/>
          <w:szCs w:val="24"/>
        </w:rPr>
        <w:t xml:space="preserve"> Wall Street </w:t>
      </w:r>
      <w:proofErr w:type="spellStart"/>
      <w:r>
        <w:rPr>
          <w:rFonts w:ascii="Century Gothic" w:eastAsia="Century Gothic" w:hAnsi="Century Gothic" w:cs="Century Gothic"/>
          <w:b/>
          <w:sz w:val="24"/>
          <w:szCs w:val="24"/>
        </w:rPr>
        <w:t>Journal</w:t>
      </w:r>
      <w:proofErr w:type="spellEnd"/>
      <w:r>
        <w:rPr>
          <w:rFonts w:ascii="Century Gothic" w:eastAsia="Century Gothic" w:hAnsi="Century Gothic" w:cs="Century Gothic"/>
          <w:b/>
          <w:sz w:val="24"/>
          <w:szCs w:val="24"/>
        </w:rPr>
        <w:t>’ vuelve a nombrar a Delta como la mejor línea aérea de EE. UU. de 2023</w:t>
      </w:r>
    </w:p>
    <w:p w14:paraId="265246BB" w14:textId="77777777" w:rsidR="007C4A37" w:rsidRDefault="007C4A37">
      <w:pPr>
        <w:pBdr>
          <w:top w:val="nil"/>
          <w:left w:val="nil"/>
          <w:bottom w:val="nil"/>
          <w:right w:val="nil"/>
          <w:between w:val="nil"/>
        </w:pBdr>
        <w:spacing w:after="160" w:line="360" w:lineRule="auto"/>
        <w:jc w:val="center"/>
        <w:rPr>
          <w:rFonts w:ascii="Century Gothic" w:eastAsia="Century Gothic" w:hAnsi="Century Gothic" w:cs="Century Gothic"/>
          <w:sz w:val="20"/>
          <w:szCs w:val="20"/>
        </w:rPr>
      </w:pPr>
    </w:p>
    <w:p w14:paraId="3D704801" w14:textId="77777777" w:rsidR="007C4A37" w:rsidRDefault="00000000">
      <w:pPr>
        <w:pBdr>
          <w:top w:val="nil"/>
          <w:left w:val="nil"/>
          <w:bottom w:val="nil"/>
          <w:right w:val="nil"/>
          <w:between w:val="nil"/>
        </w:pBdr>
        <w:spacing w:after="160" w:line="360" w:lineRule="auto"/>
        <w:jc w:val="both"/>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 xml:space="preserve">Atlanta, </w:t>
      </w:r>
      <w:r>
        <w:rPr>
          <w:rFonts w:ascii="Century Gothic" w:eastAsia="Century Gothic" w:hAnsi="Century Gothic" w:cs="Century Gothic"/>
          <w:b/>
          <w:sz w:val="20"/>
          <w:szCs w:val="20"/>
        </w:rPr>
        <w:t>30</w:t>
      </w:r>
      <w:r>
        <w:rPr>
          <w:rFonts w:ascii="Century Gothic" w:eastAsia="Century Gothic" w:hAnsi="Century Gothic" w:cs="Century Gothic"/>
          <w:b/>
          <w:color w:val="000000"/>
          <w:sz w:val="20"/>
          <w:szCs w:val="20"/>
        </w:rPr>
        <w:t xml:space="preserve"> de enero de 2024</w:t>
      </w:r>
      <w:r>
        <w:rPr>
          <w:rFonts w:ascii="Century Gothic" w:eastAsia="Century Gothic" w:hAnsi="Century Gothic" w:cs="Century Gothic"/>
          <w:b/>
          <w:sz w:val="20"/>
          <w:szCs w:val="20"/>
        </w:rPr>
        <w:t xml:space="preserve"> -</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ha sido nombrada la mejor línea aérea estadounidense de 2023 por </w:t>
      </w:r>
      <w:proofErr w:type="spellStart"/>
      <w:r>
        <w:rPr>
          <w:rFonts w:ascii="Century Gothic" w:eastAsia="Century Gothic" w:hAnsi="Century Gothic" w:cs="Century Gothic"/>
          <w:i/>
          <w:sz w:val="20"/>
          <w:szCs w:val="20"/>
        </w:rPr>
        <w:t>The</w:t>
      </w:r>
      <w:proofErr w:type="spellEnd"/>
      <w:r>
        <w:rPr>
          <w:rFonts w:ascii="Century Gothic" w:eastAsia="Century Gothic" w:hAnsi="Century Gothic" w:cs="Century Gothic"/>
          <w:i/>
          <w:sz w:val="20"/>
          <w:szCs w:val="20"/>
        </w:rPr>
        <w:t xml:space="preserve"> Wall Street </w:t>
      </w:r>
      <w:proofErr w:type="spellStart"/>
      <w:r>
        <w:rPr>
          <w:rFonts w:ascii="Century Gothic" w:eastAsia="Century Gothic" w:hAnsi="Century Gothic" w:cs="Century Gothic"/>
          <w:i/>
          <w:sz w:val="20"/>
          <w:szCs w:val="20"/>
        </w:rPr>
        <w:t>Journal</w:t>
      </w:r>
      <w:proofErr w:type="spellEnd"/>
      <w:r>
        <w:rPr>
          <w:rFonts w:ascii="Century Gothic" w:eastAsia="Century Gothic" w:hAnsi="Century Gothic" w:cs="Century Gothic"/>
          <w:sz w:val="20"/>
          <w:szCs w:val="20"/>
        </w:rPr>
        <w:t xml:space="preserve"> en su clasificación anual de aerolíneas. </w:t>
      </w:r>
      <w:proofErr w:type="spellStart"/>
      <w:r>
        <w:rPr>
          <w:rFonts w:ascii="Century Gothic" w:eastAsia="Century Gothic" w:hAnsi="Century Gothic" w:cs="Century Gothic"/>
          <w:i/>
          <w:sz w:val="20"/>
          <w:szCs w:val="20"/>
        </w:rPr>
        <w:t>The</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i/>
          <w:sz w:val="20"/>
          <w:szCs w:val="20"/>
        </w:rPr>
        <w:t>Journal</w:t>
      </w:r>
      <w:proofErr w:type="spellEnd"/>
      <w:r>
        <w:rPr>
          <w:rFonts w:ascii="Century Gothic" w:eastAsia="Century Gothic" w:hAnsi="Century Gothic" w:cs="Century Gothic"/>
          <w:sz w:val="20"/>
          <w:szCs w:val="20"/>
        </w:rPr>
        <w:t xml:space="preserve"> realiza el seguimiento de siete parámetros de nueve líneas aéreas estadounidenses para clasificarlas según su historial a la hora de prestar un servicio fiable y centrado en el cliente. La red de Delta ha obtenido el primer puesto por tercer año consecutivo y ha ocupado el primer puesto en seis de los últimos siete años.</w:t>
      </w:r>
    </w:p>
    <w:p w14:paraId="17872090" w14:textId="77777777" w:rsidR="007C4A37" w:rsidRDefault="00000000">
      <w:pPr>
        <w:spacing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p w14:paraId="35F8F1C1" w14:textId="77777777" w:rsidR="007C4A37" w:rsidRDefault="00000000">
      <w:pPr>
        <w:spacing w:line="360" w:lineRule="auto"/>
        <w:jc w:val="both"/>
        <w:rPr>
          <w:rFonts w:ascii="Century Gothic" w:eastAsia="Century Gothic" w:hAnsi="Century Gothic" w:cs="Century Gothic"/>
          <w:sz w:val="20"/>
          <w:szCs w:val="20"/>
        </w:rPr>
      </w:pPr>
      <w:r>
        <w:rPr>
          <w:rFonts w:ascii="Century Gothic" w:eastAsia="Century Gothic" w:hAnsi="Century Gothic" w:cs="Century Gothic"/>
          <w:i/>
          <w:sz w:val="20"/>
          <w:szCs w:val="20"/>
        </w:rPr>
        <w:t>"Así es como nos ganamos la confianza de nuestros clientes cada día"</w:t>
      </w:r>
      <w:r>
        <w:rPr>
          <w:rFonts w:ascii="Century Gothic" w:eastAsia="Century Gothic" w:hAnsi="Century Gothic" w:cs="Century Gothic"/>
          <w:sz w:val="20"/>
          <w:szCs w:val="20"/>
        </w:rPr>
        <w:t xml:space="preserve">, ha declarado Mike </w:t>
      </w:r>
      <w:proofErr w:type="spellStart"/>
      <w:r>
        <w:rPr>
          <w:rFonts w:ascii="Century Gothic" w:eastAsia="Century Gothic" w:hAnsi="Century Gothic" w:cs="Century Gothic"/>
          <w:sz w:val="20"/>
          <w:szCs w:val="20"/>
        </w:rPr>
        <w:t>Spanos</w:t>
      </w:r>
      <w:proofErr w:type="spellEnd"/>
      <w:r>
        <w:rPr>
          <w:rFonts w:ascii="Century Gothic" w:eastAsia="Century Gothic" w:hAnsi="Century Gothic" w:cs="Century Gothic"/>
          <w:sz w:val="20"/>
          <w:szCs w:val="20"/>
        </w:rPr>
        <w:t xml:space="preserve">, </w:t>
      </w:r>
      <w:proofErr w:type="gramStart"/>
      <w:r>
        <w:rPr>
          <w:rFonts w:ascii="Century Gothic" w:eastAsia="Century Gothic" w:hAnsi="Century Gothic" w:cs="Century Gothic"/>
          <w:sz w:val="20"/>
          <w:szCs w:val="20"/>
        </w:rPr>
        <w:t>Director</w:t>
      </w:r>
      <w:proofErr w:type="gramEnd"/>
      <w:r>
        <w:rPr>
          <w:rFonts w:ascii="Century Gothic" w:eastAsia="Century Gothic" w:hAnsi="Century Gothic" w:cs="Century Gothic"/>
          <w:sz w:val="20"/>
          <w:szCs w:val="20"/>
        </w:rPr>
        <w:t xml:space="preserve"> de Operaciones. </w:t>
      </w:r>
      <w:r>
        <w:rPr>
          <w:rFonts w:ascii="Century Gothic" w:eastAsia="Century Gothic" w:hAnsi="Century Gothic" w:cs="Century Gothic"/>
          <w:i/>
          <w:sz w:val="20"/>
          <w:szCs w:val="20"/>
        </w:rPr>
        <w:t>"Gracias a los 100.000 empleados de Delta en todo el mundo por lograr el mejor rendimiento del sector en 2023"</w:t>
      </w:r>
      <w:r>
        <w:rPr>
          <w:rFonts w:ascii="Century Gothic" w:eastAsia="Century Gothic" w:hAnsi="Century Gothic" w:cs="Century Gothic"/>
          <w:sz w:val="20"/>
          <w:szCs w:val="20"/>
        </w:rPr>
        <w:t>.</w:t>
      </w:r>
    </w:p>
    <w:p w14:paraId="2A5F50DB" w14:textId="77777777" w:rsidR="007C4A37" w:rsidRDefault="00000000">
      <w:pPr>
        <w:spacing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p w14:paraId="25ADAFEF" w14:textId="77777777" w:rsidR="007C4A37" w:rsidRDefault="00000000">
      <w:pPr>
        <w:spacing w:line="360" w:lineRule="auto"/>
        <w:jc w:val="both"/>
        <w:rPr>
          <w:rFonts w:ascii="Century Gothic" w:eastAsia="Century Gothic" w:hAnsi="Century Gothic" w:cs="Century Gothic"/>
          <w:sz w:val="20"/>
          <w:szCs w:val="20"/>
        </w:rPr>
      </w:pPr>
      <w:proofErr w:type="spellStart"/>
      <w:r>
        <w:rPr>
          <w:rFonts w:ascii="Century Gothic" w:eastAsia="Century Gothic" w:hAnsi="Century Gothic" w:cs="Century Gothic"/>
          <w:i/>
          <w:sz w:val="20"/>
          <w:szCs w:val="20"/>
        </w:rPr>
        <w:t>The</w:t>
      </w:r>
      <w:proofErr w:type="spellEnd"/>
      <w:r>
        <w:rPr>
          <w:rFonts w:ascii="Century Gothic" w:eastAsia="Century Gothic" w:hAnsi="Century Gothic" w:cs="Century Gothic"/>
          <w:i/>
          <w:sz w:val="20"/>
          <w:szCs w:val="20"/>
        </w:rPr>
        <w:t xml:space="preserve"> Wall Street </w:t>
      </w:r>
      <w:proofErr w:type="spellStart"/>
      <w:r>
        <w:rPr>
          <w:rFonts w:ascii="Century Gothic" w:eastAsia="Century Gothic" w:hAnsi="Century Gothic" w:cs="Century Gothic"/>
          <w:i/>
          <w:sz w:val="20"/>
          <w:szCs w:val="20"/>
        </w:rPr>
        <w:t>Journal</w:t>
      </w:r>
      <w:proofErr w:type="spellEnd"/>
      <w:r>
        <w:rPr>
          <w:rFonts w:ascii="Century Gothic" w:eastAsia="Century Gothic" w:hAnsi="Century Gothic" w:cs="Century Gothic"/>
          <w:i/>
          <w:sz w:val="20"/>
          <w:szCs w:val="20"/>
        </w:rPr>
        <w:t xml:space="preserve"> </w:t>
      </w:r>
      <w:r>
        <w:rPr>
          <w:rFonts w:ascii="Century Gothic" w:eastAsia="Century Gothic" w:hAnsi="Century Gothic" w:cs="Century Gothic"/>
          <w:sz w:val="20"/>
          <w:szCs w:val="20"/>
        </w:rPr>
        <w:t xml:space="preserve">ha clasificado a las líneas aéreas según parámetros objetivos de rendimiento del sector y datos del Departamento de Transporte de EE. UU. Delta ocupa el primer puesto en la clasificación general y en tres de las siete categorías: llegadas puntuales, escasas reclamaciones al Departamento de Transporte de EE. UU. y despidos involuntarios. </w:t>
      </w:r>
    </w:p>
    <w:p w14:paraId="13433D84" w14:textId="77777777" w:rsidR="007C4A37" w:rsidRDefault="00000000">
      <w:pPr>
        <w:spacing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p w14:paraId="159BB4B1" w14:textId="02805EEB" w:rsidR="007C4A37" w:rsidRDefault="00000000">
      <w:pPr>
        <w:spacing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Además, </w:t>
      </w:r>
      <w:proofErr w:type="spellStart"/>
      <w:r>
        <w:rPr>
          <w:rFonts w:ascii="Century Gothic" w:eastAsia="Century Gothic" w:hAnsi="Century Gothic" w:cs="Century Gothic"/>
          <w:i/>
          <w:sz w:val="20"/>
          <w:szCs w:val="20"/>
        </w:rPr>
        <w:t>The</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Journal</w:t>
      </w:r>
      <w:proofErr w:type="spellEnd"/>
      <w:r>
        <w:rPr>
          <w:rFonts w:ascii="Century Gothic" w:eastAsia="Century Gothic" w:hAnsi="Century Gothic" w:cs="Century Gothic"/>
          <w:sz w:val="20"/>
          <w:szCs w:val="20"/>
        </w:rPr>
        <w:t xml:space="preserve"> ha informado de que Delta ha tenido en 2023 la tasa más baja de reclamaciones y ha reducido su tasa de cancelación de vuelos al 1,2 % desde casi el 2 % anterior.</w:t>
      </w:r>
    </w:p>
    <w:p w14:paraId="116FA592" w14:textId="77777777" w:rsidR="007C4A37" w:rsidRDefault="00000000">
      <w:pPr>
        <w:spacing w:line="360" w:lineRule="auto"/>
        <w:jc w:val="both"/>
        <w:rPr>
          <w:rFonts w:ascii="Calibri" w:eastAsia="Calibri" w:hAnsi="Calibri" w:cs="Calibri"/>
        </w:rPr>
      </w:pPr>
      <w:r>
        <w:rPr>
          <w:rFonts w:ascii="Calibri" w:eastAsia="Calibri" w:hAnsi="Calibri" w:cs="Calibri"/>
        </w:rPr>
        <w:t xml:space="preserve"> </w:t>
      </w:r>
    </w:p>
    <w:p w14:paraId="032F9F85" w14:textId="77777777" w:rsidR="007C4A37" w:rsidRDefault="00000000">
      <w:pPr>
        <w:pBdr>
          <w:top w:val="nil"/>
          <w:left w:val="nil"/>
          <w:bottom w:val="nil"/>
          <w:right w:val="nil"/>
          <w:between w:val="nil"/>
        </w:pBdr>
        <w:spacing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obtuvo unos ingresos récord en el trimestre de diciembre, con el mayor volumen de viajes navideños de su historia. El rendimiento operativo fue el mejor de su clase (con un factor de finalización y puntualidad líderes en todo el sistema). Aunque este reconocimiento es el </w:t>
      </w:r>
      <w:r>
        <w:rPr>
          <w:rFonts w:ascii="Century Gothic" w:eastAsia="Century Gothic" w:hAnsi="Century Gothic" w:cs="Century Gothic"/>
          <w:sz w:val="20"/>
          <w:szCs w:val="20"/>
        </w:rPr>
        <w:lastRenderedPageBreak/>
        <w:t xml:space="preserve">último para la galardonada operación de Delta, el equipo de Delta crea continuamente oportunidades para obtener otros premios, incluyendo el galardón </w:t>
      </w:r>
      <w:proofErr w:type="spellStart"/>
      <w:r>
        <w:rPr>
          <w:rFonts w:ascii="Century Gothic" w:eastAsia="Century Gothic" w:hAnsi="Century Gothic" w:cs="Century Gothic"/>
          <w:i/>
          <w:sz w:val="20"/>
          <w:szCs w:val="20"/>
        </w:rPr>
        <w:t>Cirium</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Platinum</w:t>
      </w:r>
      <w:proofErr w:type="spellEnd"/>
      <w:r>
        <w:rPr>
          <w:rFonts w:ascii="Century Gothic" w:eastAsia="Century Gothic" w:hAnsi="Century Gothic" w:cs="Century Gothic"/>
          <w:sz w:val="20"/>
          <w:szCs w:val="20"/>
        </w:rPr>
        <w:t xml:space="preserve"> como la línea aérea más puntual de Norteamérica y el puesto n.º 1 en la encuesta anual </w:t>
      </w:r>
      <w:r>
        <w:rPr>
          <w:rFonts w:ascii="Century Gothic" w:eastAsia="Century Gothic" w:hAnsi="Century Gothic" w:cs="Century Gothic"/>
          <w:i/>
          <w:sz w:val="20"/>
          <w:szCs w:val="20"/>
        </w:rPr>
        <w:t xml:space="preserve">Business </w:t>
      </w:r>
      <w:proofErr w:type="spellStart"/>
      <w:r>
        <w:rPr>
          <w:rFonts w:ascii="Century Gothic" w:eastAsia="Century Gothic" w:hAnsi="Century Gothic" w:cs="Century Gothic"/>
          <w:i/>
          <w:sz w:val="20"/>
          <w:szCs w:val="20"/>
        </w:rPr>
        <w:t>Travel</w:t>
      </w:r>
      <w:proofErr w:type="spellEnd"/>
      <w:r>
        <w:rPr>
          <w:rFonts w:ascii="Century Gothic" w:eastAsia="Century Gothic" w:hAnsi="Century Gothic" w:cs="Century Gothic"/>
          <w:i/>
          <w:sz w:val="20"/>
          <w:szCs w:val="20"/>
        </w:rPr>
        <w:t xml:space="preserve"> News </w:t>
      </w:r>
      <w:proofErr w:type="spellStart"/>
      <w:r>
        <w:rPr>
          <w:rFonts w:ascii="Century Gothic" w:eastAsia="Century Gothic" w:hAnsi="Century Gothic" w:cs="Century Gothic"/>
          <w:i/>
          <w:sz w:val="20"/>
          <w:szCs w:val="20"/>
        </w:rPr>
        <w:t>Airline</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Survey</w:t>
      </w:r>
      <w:proofErr w:type="spellEnd"/>
      <w:r>
        <w:rPr>
          <w:rFonts w:ascii="Century Gothic" w:eastAsia="Century Gothic" w:hAnsi="Century Gothic" w:cs="Century Gothic"/>
          <w:sz w:val="20"/>
          <w:szCs w:val="20"/>
        </w:rPr>
        <w:t xml:space="preserve"> por 13.º año consecutivo.</w:t>
      </w:r>
    </w:p>
    <w:p w14:paraId="55075DBF" w14:textId="77777777" w:rsidR="007C4A37" w:rsidRDefault="00000000">
      <w:pPr>
        <w:pBdr>
          <w:top w:val="nil"/>
          <w:left w:val="nil"/>
          <w:bottom w:val="nil"/>
          <w:right w:val="nil"/>
          <w:between w:val="nil"/>
        </w:pBdr>
        <w:spacing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p w14:paraId="16A45D94" w14:textId="77777777" w:rsidR="007C4A37" w:rsidRDefault="00000000">
      <w:pPr>
        <w:pBdr>
          <w:top w:val="nil"/>
          <w:left w:val="nil"/>
          <w:bottom w:val="nil"/>
          <w:right w:val="nil"/>
          <w:between w:val="nil"/>
        </w:pBdr>
        <w:spacing w:line="360" w:lineRule="auto"/>
        <w:jc w:val="both"/>
        <w:rPr>
          <w:rFonts w:ascii="Calibri" w:eastAsia="Calibri" w:hAnsi="Calibri" w:cs="Calibri"/>
        </w:rPr>
      </w:pPr>
      <w:r>
        <w:rPr>
          <w:rFonts w:ascii="Century Gothic" w:eastAsia="Century Gothic" w:hAnsi="Century Gothic" w:cs="Century Gothic"/>
          <w:i/>
          <w:sz w:val="20"/>
          <w:szCs w:val="20"/>
        </w:rPr>
        <w:t xml:space="preserve">"Delta Air </w:t>
      </w:r>
      <w:proofErr w:type="spellStart"/>
      <w:r>
        <w:rPr>
          <w:rFonts w:ascii="Century Gothic" w:eastAsia="Century Gothic" w:hAnsi="Century Gothic" w:cs="Century Gothic"/>
          <w:i/>
          <w:sz w:val="20"/>
          <w:szCs w:val="20"/>
        </w:rPr>
        <w:t>Lines</w:t>
      </w:r>
      <w:proofErr w:type="spellEnd"/>
      <w:r>
        <w:rPr>
          <w:rFonts w:ascii="Century Gothic" w:eastAsia="Century Gothic" w:hAnsi="Century Gothic" w:cs="Century Gothic"/>
          <w:i/>
          <w:sz w:val="20"/>
          <w:szCs w:val="20"/>
        </w:rPr>
        <w:t xml:space="preserve"> ha liderado el pelotón en la recuperación de las operaciones"</w:t>
      </w:r>
      <w:r>
        <w:rPr>
          <w:rFonts w:ascii="Century Gothic" w:eastAsia="Century Gothic" w:hAnsi="Century Gothic" w:cs="Century Gothic"/>
          <w:sz w:val="20"/>
          <w:szCs w:val="20"/>
        </w:rPr>
        <w:t xml:space="preserve">, han declarado </w:t>
      </w:r>
      <w:proofErr w:type="spellStart"/>
      <w:r>
        <w:rPr>
          <w:rFonts w:ascii="Century Gothic" w:eastAsia="Century Gothic" w:hAnsi="Century Gothic" w:cs="Century Gothic"/>
          <w:sz w:val="20"/>
          <w:szCs w:val="20"/>
        </w:rPr>
        <w:t>Dawn</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Gilbertson</w:t>
      </w:r>
      <w:proofErr w:type="spellEnd"/>
      <w:r>
        <w:rPr>
          <w:rFonts w:ascii="Century Gothic" w:eastAsia="Century Gothic" w:hAnsi="Century Gothic" w:cs="Century Gothic"/>
          <w:sz w:val="20"/>
          <w:szCs w:val="20"/>
        </w:rPr>
        <w:t xml:space="preserve"> y Allison </w:t>
      </w:r>
      <w:proofErr w:type="spellStart"/>
      <w:r>
        <w:rPr>
          <w:rFonts w:ascii="Century Gothic" w:eastAsia="Century Gothic" w:hAnsi="Century Gothic" w:cs="Century Gothic"/>
          <w:sz w:val="20"/>
          <w:szCs w:val="20"/>
        </w:rPr>
        <w:t>Pohle</w:t>
      </w:r>
      <w:proofErr w:type="spellEnd"/>
      <w:r>
        <w:rPr>
          <w:rFonts w:ascii="Century Gothic" w:eastAsia="Century Gothic" w:hAnsi="Century Gothic" w:cs="Century Gothic"/>
          <w:sz w:val="20"/>
          <w:szCs w:val="20"/>
        </w:rPr>
        <w:t xml:space="preserve"> en el artículo de </w:t>
      </w:r>
      <w:proofErr w:type="spellStart"/>
      <w:r>
        <w:rPr>
          <w:rFonts w:ascii="Century Gothic" w:eastAsia="Century Gothic" w:hAnsi="Century Gothic" w:cs="Century Gothic"/>
          <w:i/>
          <w:sz w:val="20"/>
          <w:szCs w:val="20"/>
        </w:rPr>
        <w:t>The</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Journal</w:t>
      </w:r>
      <w:proofErr w:type="spellEnd"/>
      <w:r>
        <w:rPr>
          <w:rFonts w:ascii="Century Gothic" w:eastAsia="Century Gothic" w:hAnsi="Century Gothic" w:cs="Century Gothic"/>
          <w:sz w:val="20"/>
          <w:szCs w:val="20"/>
        </w:rPr>
        <w:t xml:space="preserve">. </w:t>
      </w:r>
      <w:r>
        <w:rPr>
          <w:rFonts w:ascii="Century Gothic" w:eastAsia="Century Gothic" w:hAnsi="Century Gothic" w:cs="Century Gothic"/>
          <w:i/>
          <w:sz w:val="20"/>
          <w:szCs w:val="20"/>
        </w:rPr>
        <w:t xml:space="preserve">"La línea aérea se ha llevado la corona </w:t>
      </w:r>
      <w:r>
        <w:rPr>
          <w:rFonts w:ascii="Century Gothic" w:eastAsia="Century Gothic" w:hAnsi="Century Gothic" w:cs="Century Gothic"/>
          <w:sz w:val="20"/>
          <w:szCs w:val="20"/>
        </w:rPr>
        <w:t>—</w:t>
      </w:r>
      <w:r>
        <w:rPr>
          <w:rFonts w:ascii="Century Gothic" w:eastAsia="Century Gothic" w:hAnsi="Century Gothic" w:cs="Century Gothic"/>
          <w:i/>
          <w:sz w:val="20"/>
          <w:szCs w:val="20"/>
        </w:rPr>
        <w:t xml:space="preserve">de nuevo— en la 16.ª puntuación anual de </w:t>
      </w:r>
      <w:proofErr w:type="spellStart"/>
      <w:r>
        <w:rPr>
          <w:rFonts w:ascii="Century Gothic" w:eastAsia="Century Gothic" w:hAnsi="Century Gothic" w:cs="Century Gothic"/>
          <w:i/>
          <w:sz w:val="20"/>
          <w:szCs w:val="20"/>
        </w:rPr>
        <w:t>The</w:t>
      </w:r>
      <w:proofErr w:type="spellEnd"/>
      <w:r>
        <w:rPr>
          <w:rFonts w:ascii="Century Gothic" w:eastAsia="Century Gothic" w:hAnsi="Century Gothic" w:cs="Century Gothic"/>
          <w:i/>
          <w:sz w:val="20"/>
          <w:szCs w:val="20"/>
        </w:rPr>
        <w:t xml:space="preserve"> Wall Street </w:t>
      </w:r>
      <w:proofErr w:type="spellStart"/>
      <w:r>
        <w:rPr>
          <w:rFonts w:ascii="Century Gothic" w:eastAsia="Century Gothic" w:hAnsi="Century Gothic" w:cs="Century Gothic"/>
          <w:i/>
          <w:sz w:val="20"/>
          <w:szCs w:val="20"/>
        </w:rPr>
        <w:t>Journal</w:t>
      </w:r>
      <w:proofErr w:type="spellEnd"/>
      <w:r>
        <w:rPr>
          <w:rFonts w:ascii="Century Gothic" w:eastAsia="Century Gothic" w:hAnsi="Century Gothic" w:cs="Century Gothic"/>
          <w:i/>
          <w:sz w:val="20"/>
          <w:szCs w:val="20"/>
        </w:rPr>
        <w:t>”</w:t>
      </w:r>
      <w:r>
        <w:rPr>
          <w:rFonts w:ascii="Century Gothic" w:eastAsia="Century Gothic" w:hAnsi="Century Gothic" w:cs="Century Gothic"/>
          <w:sz w:val="20"/>
          <w:szCs w:val="20"/>
        </w:rPr>
        <w:t>.</w:t>
      </w:r>
    </w:p>
    <w:p w14:paraId="3AA6C48B" w14:textId="77777777" w:rsidR="007C4A37" w:rsidRDefault="007C4A37">
      <w:pPr>
        <w:spacing w:line="360" w:lineRule="auto"/>
        <w:jc w:val="both"/>
        <w:rPr>
          <w:rFonts w:ascii="Calibri" w:eastAsia="Calibri" w:hAnsi="Calibri" w:cs="Calibri"/>
        </w:rPr>
      </w:pPr>
    </w:p>
    <w:p w14:paraId="2ACED0CE" w14:textId="77777777" w:rsidR="007C4A37"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b/>
          <w:i/>
          <w:color w:val="000000"/>
          <w:sz w:val="16"/>
          <w:szCs w:val="16"/>
        </w:rPr>
        <w:t>Acerca de Delta</w:t>
      </w:r>
    </w:p>
    <w:p w14:paraId="5B2D2D2D" w14:textId="77777777" w:rsidR="007C4A37"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Más de 90.000 empleados de Delta se encargan de ofrecer una experiencia de primera clase al cliente en más de 4.000 vuelos diarios a más de 275 destinos en seis continentes, conectando a las personas con los lugares y entre sí.</w:t>
      </w:r>
    </w:p>
    <w:p w14:paraId="6F2AF5FB" w14:textId="77777777" w:rsidR="007C4A37"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5E2B87D5" w14:textId="77777777" w:rsidR="007C4A37"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color w:val="000000"/>
          <w:sz w:val="16"/>
          <w:szCs w:val="16"/>
        </w:rPr>
        <w:t>LaGuardia</w:t>
      </w:r>
      <w:proofErr w:type="spellEnd"/>
      <w:r>
        <w:rPr>
          <w:rFonts w:ascii="Century Gothic" w:eastAsia="Century Gothic" w:hAnsi="Century Gothic" w:cs="Century Gothic"/>
          <w:color w:val="000000"/>
          <w:sz w:val="16"/>
          <w:szCs w:val="16"/>
        </w:rPr>
        <w:t>, París-Charles de Gaulle, Salt Lake City, Seattle, Seúl-Incheon y Tokio.</w:t>
      </w:r>
    </w:p>
    <w:p w14:paraId="4706D490" w14:textId="77777777" w:rsidR="007C4A37"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Como aerolínea líder mundial, la misión de Delta de conectar el mundo crea oportunidades, fomenta el entendimiento y amplía horizontes conectando a personas y comunidades entre sí y con su potencial.</w:t>
      </w:r>
    </w:p>
    <w:p w14:paraId="6C157E83" w14:textId="77777777" w:rsidR="007C4A37"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Impulsada por asociaciones innovadoras y estratégicas con Aeroméxico, Air France-KLM, China Eastern, </w:t>
      </w:r>
      <w:proofErr w:type="spellStart"/>
      <w:r>
        <w:rPr>
          <w:rFonts w:ascii="Century Gothic" w:eastAsia="Century Gothic" w:hAnsi="Century Gothic" w:cs="Century Gothic"/>
          <w:color w:val="000000"/>
          <w:sz w:val="16"/>
          <w:szCs w:val="16"/>
        </w:rPr>
        <w:t>Korean</w:t>
      </w:r>
      <w:proofErr w:type="spellEnd"/>
      <w:r>
        <w:rPr>
          <w:rFonts w:ascii="Century Gothic" w:eastAsia="Century Gothic" w:hAnsi="Century Gothic" w:cs="Century Gothic"/>
          <w:color w:val="000000"/>
          <w:sz w:val="16"/>
          <w:szCs w:val="16"/>
        </w:rPr>
        <w:t xml:space="preserve"> Air, LATAM, </w:t>
      </w:r>
      <w:proofErr w:type="spellStart"/>
      <w:r>
        <w:rPr>
          <w:rFonts w:ascii="Century Gothic" w:eastAsia="Century Gothic" w:hAnsi="Century Gothic" w:cs="Century Gothic"/>
          <w:color w:val="000000"/>
          <w:sz w:val="16"/>
          <w:szCs w:val="16"/>
        </w:rPr>
        <w:t>Virgin</w:t>
      </w:r>
      <w:proofErr w:type="spellEnd"/>
      <w:r>
        <w:rPr>
          <w:rFonts w:ascii="Century Gothic" w:eastAsia="Century Gothic" w:hAnsi="Century Gothic" w:cs="Century Gothic"/>
          <w:color w:val="000000"/>
          <w:sz w:val="16"/>
          <w:szCs w:val="16"/>
        </w:rPr>
        <w:t xml:space="preserve"> Atlantic y </w:t>
      </w:r>
      <w:proofErr w:type="spellStart"/>
      <w:r>
        <w:rPr>
          <w:rFonts w:ascii="Century Gothic" w:eastAsia="Century Gothic" w:hAnsi="Century Gothic" w:cs="Century Gothic"/>
          <w:color w:val="000000"/>
          <w:sz w:val="16"/>
          <w:szCs w:val="16"/>
        </w:rPr>
        <w:t>WestJet</w:t>
      </w:r>
      <w:proofErr w:type="spellEnd"/>
      <w:r>
        <w:rPr>
          <w:rFonts w:ascii="Century Gothic" w:eastAsia="Century Gothic" w:hAnsi="Century Gothic" w:cs="Century Gothic"/>
          <w:color w:val="000000"/>
          <w:sz w:val="16"/>
          <w:szCs w:val="16"/>
        </w:rPr>
        <w:t>, Delta ofrece más opciones y competencia a sus clientes de todo el mundo.</w:t>
      </w:r>
    </w:p>
    <w:p w14:paraId="0FA35E81" w14:textId="77777777" w:rsidR="007C4A37"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Este verano, Delta puso en marcha el mayor programa transatlántico de su historia, ofreciendo casi 620 vuelos semanales a </w:t>
      </w:r>
      <w:proofErr w:type="gramStart"/>
      <w:r>
        <w:rPr>
          <w:rFonts w:ascii="Century Gothic" w:eastAsia="Century Gothic" w:hAnsi="Century Gothic" w:cs="Century Gothic"/>
          <w:color w:val="000000"/>
          <w:sz w:val="16"/>
          <w:szCs w:val="16"/>
        </w:rPr>
        <w:t>EE.UU.</w:t>
      </w:r>
      <w:proofErr w:type="gramEnd"/>
      <w:r>
        <w:rPr>
          <w:rFonts w:ascii="Century Gothic" w:eastAsia="Century Gothic" w:hAnsi="Century Gothic" w:cs="Century Gothic"/>
          <w:color w:val="000000"/>
          <w:sz w:val="16"/>
          <w:szCs w:val="16"/>
        </w:rPr>
        <w:t xml:space="preserve"> desde 32 aeropuertos europeos.</w:t>
      </w:r>
    </w:p>
    <w:sectPr w:rsidR="007C4A37">
      <w:headerReference w:type="default" r:id="rId9"/>
      <w:footerReference w:type="default" r:id="rId10"/>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A68F" w14:textId="77777777" w:rsidR="002D4F25" w:rsidRDefault="002D4F25">
      <w:pPr>
        <w:spacing w:line="240" w:lineRule="auto"/>
      </w:pPr>
      <w:r>
        <w:separator/>
      </w:r>
    </w:p>
  </w:endnote>
  <w:endnote w:type="continuationSeparator" w:id="0">
    <w:p w14:paraId="2C2D83C1" w14:textId="77777777" w:rsidR="002D4F25" w:rsidRDefault="002D4F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716A" w14:textId="77777777" w:rsidR="007C4A37" w:rsidRDefault="00000000">
    <w:pPr>
      <w:pBdr>
        <w:top w:val="nil"/>
        <w:left w:val="nil"/>
        <w:bottom w:val="nil"/>
        <w:right w:val="nil"/>
        <w:between w:val="nil"/>
      </w:pBdr>
      <w:tabs>
        <w:tab w:val="center" w:pos="4252"/>
        <w:tab w:val="right" w:pos="8504"/>
      </w:tabs>
      <w:spacing w:line="240" w:lineRule="auto"/>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8151DC">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3A458" w14:textId="77777777" w:rsidR="002D4F25" w:rsidRDefault="002D4F25">
      <w:pPr>
        <w:spacing w:line="240" w:lineRule="auto"/>
      </w:pPr>
      <w:r>
        <w:separator/>
      </w:r>
    </w:p>
  </w:footnote>
  <w:footnote w:type="continuationSeparator" w:id="0">
    <w:p w14:paraId="4700DFD0" w14:textId="77777777" w:rsidR="002D4F25" w:rsidRDefault="002D4F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BE12" w14:textId="77777777" w:rsidR="007C4A37" w:rsidRDefault="007C4A37">
    <w:pPr>
      <w:pBdr>
        <w:top w:val="nil"/>
        <w:left w:val="nil"/>
        <w:bottom w:val="nil"/>
        <w:right w:val="nil"/>
        <w:between w:val="nil"/>
      </w:pBdr>
      <w:tabs>
        <w:tab w:val="center" w:pos="4252"/>
        <w:tab w:val="right" w:pos="8504"/>
      </w:tabs>
      <w:spacing w:line="240" w:lineRule="auto"/>
      <w:rPr>
        <w:color w:val="000000"/>
      </w:rPr>
    </w:pPr>
  </w:p>
  <w:p w14:paraId="2388B0A7" w14:textId="77777777" w:rsidR="007C4A37" w:rsidRDefault="007C4A37">
    <w:pPr>
      <w:pBdr>
        <w:top w:val="nil"/>
        <w:left w:val="nil"/>
        <w:bottom w:val="nil"/>
        <w:right w:val="nil"/>
        <w:between w:val="nil"/>
      </w:pBdr>
      <w:tabs>
        <w:tab w:val="center" w:pos="4252"/>
        <w:tab w:val="right" w:pos="8504"/>
      </w:tabs>
      <w:spacing w:line="240" w:lineRule="auto"/>
      <w:rPr>
        <w:color w:val="000000"/>
      </w:rPr>
    </w:pPr>
  </w:p>
  <w:p w14:paraId="4DEDB0A9" w14:textId="77777777" w:rsidR="007C4A37" w:rsidRDefault="007C4A37">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A37"/>
    <w:rsid w:val="002D4F25"/>
    <w:rsid w:val="007C4A37"/>
    <w:rsid w:val="008151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78D0360"/>
  <w15:docId w15:val="{EBB5E495-DFBA-3943-8591-654848A1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HcSZt841EUnKTIYVxa9psA1xQ==">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3321</Characters>
  <Application>Microsoft Office Word</Application>
  <DocSecurity>0</DocSecurity>
  <Lines>64</Lines>
  <Paragraphs>20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2024-01-30T11:22:00Z</dcterms:created>
  <dcterms:modified xsi:type="dcterms:W3CDTF">2024-01-30T11:23:00Z</dcterms:modified>
  <cp:category/>
</cp:coreProperties>
</file>