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B1FF2" w14:textId="77777777" w:rsidR="00742DF1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ab/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70CEAE0C" wp14:editId="43F808A2">
            <wp:simplePos x="0" y="0"/>
            <wp:positionH relativeFrom="column">
              <wp:posOffset>3522345</wp:posOffset>
            </wp:positionH>
            <wp:positionV relativeFrom="paragraph">
              <wp:posOffset>635</wp:posOffset>
            </wp:positionV>
            <wp:extent cx="2286000" cy="390525"/>
            <wp:effectExtent l="0" t="0" r="0" b="0"/>
            <wp:wrapSquare wrapText="bothSides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390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B357AAD" w14:textId="77777777" w:rsidR="00742DF1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</w:t>
      </w:r>
    </w:p>
    <w:p w14:paraId="2DB0310A" w14:textId="77777777" w:rsidR="00742DF1" w:rsidRDefault="00742DF1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right"/>
        <w:rPr>
          <w:color w:val="000000"/>
          <w:sz w:val="18"/>
          <w:szCs w:val="18"/>
        </w:rPr>
      </w:pPr>
    </w:p>
    <w:p w14:paraId="5B561F94" w14:textId="77777777" w:rsidR="00742DF1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Reservas España, Tel. 91 375 41 46</w:t>
      </w:r>
    </w:p>
    <w:p w14:paraId="12064D88" w14:textId="77777777" w:rsidR="00742DF1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right"/>
        <w:rPr>
          <w:color w:val="0000FF"/>
          <w:sz w:val="18"/>
          <w:szCs w:val="18"/>
          <w:u w:val="single"/>
        </w:rPr>
      </w:pPr>
      <w:r>
        <w:rPr>
          <w:color w:val="000000"/>
          <w:sz w:val="18"/>
          <w:szCs w:val="18"/>
        </w:rPr>
        <w:t xml:space="preserve">Web: </w:t>
      </w:r>
      <w:r>
        <w:rPr>
          <w:color w:val="0000FF"/>
          <w:sz w:val="18"/>
          <w:szCs w:val="18"/>
          <w:u w:val="single"/>
        </w:rPr>
        <w:t>www.delta.com</w:t>
      </w:r>
    </w:p>
    <w:p w14:paraId="16D908F1" w14:textId="77777777" w:rsidR="00742DF1" w:rsidRDefault="00742DF1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sz w:val="18"/>
          <w:szCs w:val="18"/>
        </w:rPr>
      </w:pPr>
    </w:p>
    <w:p w14:paraId="1F38B150" w14:textId="77777777" w:rsidR="00742DF1" w:rsidRPr="005C29F3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Century Gothic" w:eastAsia="Century Gothic" w:hAnsi="Century Gothic" w:cs="Century Gothic"/>
          <w:color w:val="000000"/>
          <w:sz w:val="18"/>
          <w:szCs w:val="18"/>
          <w:lang w:val="en-US"/>
        </w:rPr>
      </w:pPr>
      <w:proofErr w:type="spellStart"/>
      <w:r w:rsidRPr="005C29F3">
        <w:rPr>
          <w:rFonts w:ascii="Century Gothic" w:eastAsia="Century Gothic" w:hAnsi="Century Gothic" w:cs="Century Gothic"/>
          <w:color w:val="000000"/>
          <w:sz w:val="18"/>
          <w:szCs w:val="18"/>
          <w:lang w:val="en-US"/>
        </w:rPr>
        <w:t>Sergat</w:t>
      </w:r>
      <w:proofErr w:type="spellEnd"/>
    </w:p>
    <w:p w14:paraId="5CF70089" w14:textId="77777777" w:rsidR="00742DF1" w:rsidRPr="005C29F3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Century Gothic" w:eastAsia="Century Gothic" w:hAnsi="Century Gothic" w:cs="Century Gothic"/>
          <w:color w:val="000000"/>
          <w:sz w:val="18"/>
          <w:szCs w:val="18"/>
          <w:lang w:val="en-US"/>
        </w:rPr>
      </w:pPr>
      <w:r w:rsidRPr="005C29F3">
        <w:rPr>
          <w:rFonts w:ascii="Century Gothic" w:eastAsia="Century Gothic" w:hAnsi="Century Gothic" w:cs="Century Gothic"/>
          <w:color w:val="000000"/>
          <w:sz w:val="18"/>
          <w:szCs w:val="18"/>
          <w:lang w:val="en-US"/>
        </w:rPr>
        <w:t>Tel.: 93 414 02 10</w:t>
      </w:r>
    </w:p>
    <w:p w14:paraId="0ADC63A3" w14:textId="77777777" w:rsidR="00742DF1" w:rsidRPr="005C29F3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Century Gothic" w:eastAsia="Century Gothic" w:hAnsi="Century Gothic" w:cs="Century Gothic"/>
          <w:color w:val="000000"/>
          <w:sz w:val="18"/>
          <w:szCs w:val="18"/>
          <w:lang w:val="en-US"/>
        </w:rPr>
      </w:pPr>
      <w:r w:rsidRPr="005C29F3">
        <w:rPr>
          <w:rFonts w:ascii="Century Gothic" w:eastAsia="Century Gothic" w:hAnsi="Century Gothic" w:cs="Century Gothic"/>
          <w:color w:val="000000"/>
          <w:sz w:val="18"/>
          <w:szCs w:val="18"/>
          <w:lang w:val="en-US"/>
        </w:rPr>
        <w:t xml:space="preserve">E-mail: </w:t>
      </w:r>
      <w:hyperlink r:id="rId8">
        <w:r w:rsidRPr="005C29F3">
          <w:rPr>
            <w:rFonts w:ascii="Century Gothic" w:eastAsia="Century Gothic" w:hAnsi="Century Gothic" w:cs="Century Gothic"/>
            <w:color w:val="0000FF"/>
            <w:sz w:val="18"/>
            <w:szCs w:val="18"/>
            <w:u w:val="single"/>
            <w:lang w:val="en-US"/>
          </w:rPr>
          <w:t>prensa@sergat.com</w:t>
        </w:r>
      </w:hyperlink>
      <w:r w:rsidRPr="005C29F3">
        <w:rPr>
          <w:rFonts w:ascii="Century Gothic" w:eastAsia="Century Gothic" w:hAnsi="Century Gothic" w:cs="Century Gothic"/>
          <w:color w:val="000000"/>
          <w:sz w:val="18"/>
          <w:szCs w:val="18"/>
          <w:lang w:val="en-US"/>
        </w:rPr>
        <w:t xml:space="preserve"> </w:t>
      </w:r>
    </w:p>
    <w:p w14:paraId="43E70BDA" w14:textId="77777777" w:rsidR="00742DF1" w:rsidRPr="005C29F3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ind w:left="0" w:hanging="2"/>
        <w:jc w:val="center"/>
        <w:rPr>
          <w:rFonts w:ascii="Century Gothic" w:eastAsia="Century Gothic" w:hAnsi="Century Gothic" w:cs="Century Gothic"/>
          <w:color w:val="000000"/>
          <w:lang w:val="en-US"/>
        </w:rPr>
      </w:pPr>
      <w:bookmarkStart w:id="0" w:name="_heading=h.gjdgxs" w:colFirst="0" w:colLast="0"/>
      <w:bookmarkEnd w:id="0"/>
      <w:r w:rsidRPr="005C29F3">
        <w:rPr>
          <w:rFonts w:ascii="Century Gothic" w:eastAsia="Century Gothic" w:hAnsi="Century Gothic" w:cs="Century Gothic"/>
          <w:b/>
          <w:color w:val="000000"/>
          <w:lang w:val="en-US"/>
        </w:rPr>
        <w:t xml:space="preserve"> </w:t>
      </w:r>
    </w:p>
    <w:p w14:paraId="11BE8769" w14:textId="77777777" w:rsidR="00742DF1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ascii="Century Gothic" w:eastAsia="Century Gothic" w:hAnsi="Century Gothic" w:cs="Century Gothic"/>
          <w:color w:val="000000"/>
          <w:u w:val="single"/>
        </w:rPr>
      </w:pPr>
      <w:r>
        <w:rPr>
          <w:rFonts w:ascii="Century Gothic" w:eastAsia="Century Gothic" w:hAnsi="Century Gothic" w:cs="Century Gothic"/>
          <w:b/>
          <w:color w:val="000000"/>
          <w:u w:val="single"/>
        </w:rPr>
        <w:t>COMUNICADO DE PRENSA</w:t>
      </w:r>
    </w:p>
    <w:p w14:paraId="555D791F" w14:textId="77777777" w:rsidR="00742DF1" w:rsidRDefault="00742DF1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ascii="Century Gothic" w:eastAsia="Century Gothic" w:hAnsi="Century Gothic" w:cs="Century Gothic"/>
          <w:color w:val="000000"/>
          <w:u w:val="single"/>
        </w:rPr>
      </w:pPr>
    </w:p>
    <w:p w14:paraId="7DFC7A04" w14:textId="77777777" w:rsidR="00742DF1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center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 xml:space="preserve">Delta, nombrada </w:t>
      </w:r>
      <w:r>
        <w:rPr>
          <w:rFonts w:ascii="Century Gothic" w:eastAsia="Century Gothic" w:hAnsi="Century Gothic" w:cs="Century Gothic"/>
          <w:b/>
          <w:sz w:val="24"/>
          <w:szCs w:val="24"/>
        </w:rPr>
        <w:t>línea aérea</w:t>
      </w: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 xml:space="preserve"> del Año </w:t>
      </w:r>
      <w:r>
        <w:rPr>
          <w:rFonts w:ascii="Century Gothic" w:eastAsia="Century Gothic" w:hAnsi="Century Gothic" w:cs="Century Gothic"/>
          <w:b/>
          <w:sz w:val="24"/>
          <w:szCs w:val="24"/>
        </w:rPr>
        <w:t xml:space="preserve">por Air </w:t>
      </w:r>
      <w:proofErr w:type="spellStart"/>
      <w:r>
        <w:rPr>
          <w:rFonts w:ascii="Century Gothic" w:eastAsia="Century Gothic" w:hAnsi="Century Gothic" w:cs="Century Gothic"/>
          <w:b/>
          <w:sz w:val="24"/>
          <w:szCs w:val="24"/>
        </w:rPr>
        <w:t>Transport</w:t>
      </w:r>
      <w:proofErr w:type="spellEnd"/>
      <w:r>
        <w:rPr>
          <w:rFonts w:ascii="Century Gothic" w:eastAsia="Century Gothic" w:hAnsi="Century Gothic" w:cs="Century Gothic"/>
          <w:b/>
          <w:sz w:val="24"/>
          <w:szCs w:val="24"/>
        </w:rPr>
        <w:t xml:space="preserve"> </w:t>
      </w:r>
      <w:proofErr w:type="spellStart"/>
      <w:r>
        <w:rPr>
          <w:rFonts w:ascii="Century Gothic" w:eastAsia="Century Gothic" w:hAnsi="Century Gothic" w:cs="Century Gothic"/>
          <w:b/>
          <w:sz w:val="24"/>
          <w:szCs w:val="24"/>
        </w:rPr>
        <w:t>World</w:t>
      </w:r>
      <w:proofErr w:type="spellEnd"/>
    </w:p>
    <w:p w14:paraId="59E1F0E6" w14:textId="77777777" w:rsidR="00742DF1" w:rsidRDefault="00742DF1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14:paraId="4BE394BA" w14:textId="77777777" w:rsidR="00742DF1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Atlanta, </w:t>
      </w:r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 xml:space="preserve">28 de </w:t>
      </w:r>
      <w:r>
        <w:rPr>
          <w:rFonts w:ascii="Century Gothic" w:eastAsia="Century Gothic" w:hAnsi="Century Gothic" w:cs="Century Gothic"/>
          <w:b/>
          <w:sz w:val="20"/>
          <w:szCs w:val="20"/>
        </w:rPr>
        <w:t>f</w:t>
      </w:r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>ebrero de 2024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- El extraordinario rendimiento operativo de Delta, su compromiso con la seguridad y su excelente servicio al cliente le han valido el premio </w:t>
      </w:r>
      <w:r>
        <w:rPr>
          <w:rFonts w:ascii="Century Gothic" w:eastAsia="Century Gothic" w:hAnsi="Century Gothic" w:cs="Century Gothic"/>
          <w:sz w:val="20"/>
          <w:szCs w:val="20"/>
        </w:rPr>
        <w:t>Línea Aérea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del Año 2024, otorgado por la publicación de aviación Air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Transport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World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(ATW).</w:t>
      </w:r>
    </w:p>
    <w:p w14:paraId="74CD6FFF" w14:textId="77777777" w:rsidR="00742DF1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La permanente dedicación de Delta a una </w:t>
      </w:r>
      <w:r>
        <w:rPr>
          <w:rFonts w:ascii="Century Gothic" w:eastAsia="Century Gothic" w:hAnsi="Century Gothic" w:cs="Century Gothic"/>
          <w:sz w:val="20"/>
          <w:szCs w:val="20"/>
        </w:rPr>
        <w:t>operativa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segura y eficiente se ha ganado la confianza de sus clientes, con el reconocimiento adicional de </w:t>
      </w:r>
      <w:r>
        <w:rPr>
          <w:rFonts w:ascii="Century Gothic" w:eastAsia="Century Gothic" w:hAnsi="Century Gothic" w:cs="Century Gothic"/>
          <w:sz w:val="20"/>
          <w:szCs w:val="20"/>
        </w:rPr>
        <w:t>los prestigiosos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medios </w:t>
      </w:r>
      <w:proofErr w:type="spellStart"/>
      <w:r>
        <w:rPr>
          <w:rFonts w:ascii="Century Gothic" w:eastAsia="Century Gothic" w:hAnsi="Century Gothic" w:cs="Century Gothic"/>
          <w:i/>
          <w:sz w:val="20"/>
          <w:szCs w:val="20"/>
        </w:rPr>
        <w:t>The</w:t>
      </w:r>
      <w:proofErr w:type="spellEnd"/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 xml:space="preserve"> Wall Street </w:t>
      </w:r>
      <w:proofErr w:type="spellStart"/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>Journal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y </w:t>
      </w:r>
      <w:proofErr w:type="spellStart"/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>Cirium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. E</w:t>
      </w:r>
      <w:r>
        <w:rPr>
          <w:rFonts w:ascii="Century Gothic" w:eastAsia="Century Gothic" w:hAnsi="Century Gothic" w:cs="Century Gothic"/>
          <w:sz w:val="20"/>
          <w:szCs w:val="20"/>
        </w:rPr>
        <w:t>l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importante componente de conectar el mundo se refleja el trabajo de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l 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personal de Delta, que está inmerso en innovar y mejorar la experiencia del cliente a bordo, como la conectividad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Wi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-Fi rápida y gratuita presentada por T-Mobile, y en tierra, centrándose en inversiones en infraestructuras de centros clave con múltiples renovaciones de aeropuertos y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Sky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Clubs. </w:t>
      </w:r>
    </w:p>
    <w:p w14:paraId="084E6DF8" w14:textId="77777777" w:rsidR="00742DF1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Con </w:t>
      </w:r>
      <w:r>
        <w:rPr>
          <w:rFonts w:ascii="Century Gothic" w:eastAsia="Century Gothic" w:hAnsi="Century Gothic" w:cs="Century Gothic"/>
          <w:sz w:val="20"/>
          <w:szCs w:val="20"/>
        </w:rPr>
        <w:t>la mirada puesta en el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mañana, Delta hace de la sostenibilidad una prioridad a través de su trabajo en </w:t>
      </w:r>
      <w:r>
        <w:rPr>
          <w:rFonts w:ascii="Century Gothic" w:eastAsia="Century Gothic" w:hAnsi="Century Gothic" w:cs="Century Gothic"/>
          <w:sz w:val="20"/>
          <w:szCs w:val="20"/>
        </w:rPr>
        <w:t>dos frentes: protección y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acción. Al mismo tiempo, Delta se esfuerza por marcar la diferencia en las comunidades en las que su personal vive, trabaja y presta servicio. La compañía también se esfuerza </w:t>
      </w:r>
      <w:r>
        <w:rPr>
          <w:rFonts w:ascii="Century Gothic" w:eastAsia="Century Gothic" w:hAnsi="Century Gothic" w:cs="Century Gothic"/>
          <w:sz w:val="20"/>
          <w:szCs w:val="20"/>
        </w:rPr>
        <w:t>en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invertir en sus empleados, </w:t>
      </w:r>
      <w:r>
        <w:rPr>
          <w:rFonts w:ascii="Century Gothic" w:eastAsia="Century Gothic" w:hAnsi="Century Gothic" w:cs="Century Gothic"/>
          <w:sz w:val="20"/>
          <w:szCs w:val="20"/>
        </w:rPr>
        <w:t>lo que le ha llevado a repartir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1400 millones de dólares de sus beneficios directamente </w:t>
      </w:r>
      <w:r>
        <w:rPr>
          <w:rFonts w:ascii="Century Gothic" w:eastAsia="Century Gothic" w:hAnsi="Century Gothic" w:cs="Century Gothic"/>
          <w:sz w:val="20"/>
          <w:szCs w:val="20"/>
        </w:rPr>
        <w:t>entre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su plantilla este año.</w:t>
      </w:r>
    </w:p>
    <w:p w14:paraId="43DD7EF6" w14:textId="77777777" w:rsidR="00742DF1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>Delta ofrece una excelencia operativa de primera clase y sobresa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lientes 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experiencias que siguen creando oportunidades de reconocimiento por parte de algunas de las organizaciones más reputadas del mundo, incluyendo el puesto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nº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11 en la lista de empresas más admiradas del mundo de </w:t>
      </w:r>
      <w:proofErr w:type="spellStart"/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>Fortune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y el puesto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nº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1 por decimotercer año consecutivo en la encuesta </w:t>
      </w:r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 xml:space="preserve">Business </w:t>
      </w:r>
      <w:proofErr w:type="spellStart"/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>Travel</w:t>
      </w:r>
      <w:proofErr w:type="spellEnd"/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 xml:space="preserve"> News </w:t>
      </w:r>
      <w:proofErr w:type="spellStart"/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>Survey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.</w:t>
      </w:r>
    </w:p>
    <w:p w14:paraId="235C823A" w14:textId="77777777" w:rsidR="00742DF1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>"</w:t>
      </w:r>
      <w:r>
        <w:rPr>
          <w:rFonts w:ascii="Century Gothic" w:eastAsia="Century Gothic" w:hAnsi="Century Gothic" w:cs="Century Gothic"/>
          <w:sz w:val="20"/>
          <w:szCs w:val="20"/>
        </w:rPr>
        <w:t>Recibir esta distinción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es un gran honor y un reflejo directo de la dedicación de nuestros 100.000 empleados en todo el mundo", </w:t>
      </w:r>
      <w:r>
        <w:rPr>
          <w:rFonts w:ascii="Century Gothic" w:eastAsia="Century Gothic" w:hAnsi="Century Gothic" w:cs="Century Gothic"/>
          <w:sz w:val="20"/>
          <w:szCs w:val="20"/>
        </w:rPr>
        <w:t>ha afirmado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Ed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Bastian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, CEO de Delta Air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Lines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. "A lo 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lastRenderedPageBreak/>
        <w:t xml:space="preserve">largo de nuestros casi 100 años de historia, es nuestra gente la que nos lleva a destacar continuamente, y su </w:t>
      </w:r>
      <w:r>
        <w:rPr>
          <w:rFonts w:ascii="Century Gothic" w:eastAsia="Century Gothic" w:hAnsi="Century Gothic" w:cs="Century Gothic"/>
          <w:sz w:val="20"/>
          <w:szCs w:val="20"/>
        </w:rPr>
        <w:t>dedicación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y profesionalidad es la que nos llevará a cotas aún mayores a medida que 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avanzamos 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>hacia el futuro".</w:t>
      </w:r>
    </w:p>
    <w:p w14:paraId="2EFCC343" w14:textId="77777777" w:rsidR="00742DF1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Creados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en 1974 para reconocer la excelencia en las operaciones de las aerolíneas, los premios ATW</w:t>
      </w:r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>Airline</w:t>
      </w:r>
      <w:proofErr w:type="spellEnd"/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>Industry</w:t>
      </w:r>
      <w:proofErr w:type="spellEnd"/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>Achievement</w:t>
      </w:r>
      <w:proofErr w:type="spellEnd"/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>Awards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se conceden a las organizaciones </w:t>
      </w:r>
      <w:r>
        <w:rPr>
          <w:rFonts w:ascii="Century Gothic" w:eastAsia="Century Gothic" w:hAnsi="Century Gothic" w:cs="Century Gothic"/>
          <w:sz w:val="20"/>
          <w:szCs w:val="20"/>
        </w:rPr>
        <w:t>de todo el mundo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que se han distinguido por un rendimiento excepcional y un servicio superior. Los galardonados son seleccionados por un panel de editores y analistas de ATW,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Routes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,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Aviation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Week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y CAPA. </w:t>
      </w:r>
    </w:p>
    <w:p w14:paraId="31DBB32A" w14:textId="77777777" w:rsidR="00742DF1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>Los 50</w:t>
      </w:r>
      <w:r>
        <w:rPr>
          <w:rFonts w:ascii="Century Gothic" w:eastAsia="Century Gothic" w:hAnsi="Century Gothic" w:cs="Century Gothic"/>
          <w:sz w:val="20"/>
          <w:szCs w:val="20"/>
        </w:rPr>
        <w:t>.º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premios anuales ATW, patrocinados por CFM International, se entregarán en una cena de gala en Dub</w:t>
      </w:r>
      <w:r>
        <w:rPr>
          <w:rFonts w:ascii="Century Gothic" w:eastAsia="Century Gothic" w:hAnsi="Century Gothic" w:cs="Century Gothic"/>
          <w:sz w:val="20"/>
          <w:szCs w:val="20"/>
        </w:rPr>
        <w:t>á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>i el viernes 31 de mayo, antes de la 80</w:t>
      </w:r>
      <w:r>
        <w:rPr>
          <w:rFonts w:ascii="Century Gothic" w:eastAsia="Century Gothic" w:hAnsi="Century Gothic" w:cs="Century Gothic"/>
          <w:sz w:val="20"/>
          <w:szCs w:val="20"/>
        </w:rPr>
        <w:t>.º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asamblea general anual de la IATA y la Cumbre Mundial del Transporte Aéreo. </w:t>
      </w:r>
    </w:p>
    <w:p w14:paraId="54751338" w14:textId="3BBB53FB" w:rsidR="00742DF1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"Estamos deseando </w:t>
      </w:r>
      <w:r>
        <w:rPr>
          <w:rFonts w:ascii="Century Gothic" w:eastAsia="Century Gothic" w:hAnsi="Century Gothic" w:cs="Century Gothic"/>
          <w:sz w:val="20"/>
          <w:szCs w:val="20"/>
        </w:rPr>
        <w:t>homenajear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a estos </w:t>
      </w:r>
      <w:r>
        <w:rPr>
          <w:rFonts w:ascii="Century Gothic" w:eastAsia="Century Gothic" w:hAnsi="Century Gothic" w:cs="Century Gothic"/>
          <w:sz w:val="20"/>
          <w:szCs w:val="20"/>
        </w:rPr>
        <w:t>merecidísimos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ganadores, iluminando todo lo bueno que se consigue gracias a la conectividad del transporte aéreo y a las personas de este sector que trabajan tan duro cada día", </w:t>
      </w:r>
      <w:r>
        <w:rPr>
          <w:rFonts w:ascii="Century Gothic" w:eastAsia="Century Gothic" w:hAnsi="Century Gothic" w:cs="Century Gothic"/>
          <w:sz w:val="20"/>
          <w:szCs w:val="20"/>
        </w:rPr>
        <w:t>ha declarado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Karen Walker, </w:t>
      </w:r>
      <w:r w:rsidR="005C29F3">
        <w:rPr>
          <w:rFonts w:ascii="Century Gothic" w:eastAsia="Century Gothic" w:hAnsi="Century Gothic" w:cs="Century Gothic"/>
          <w:color w:val="000000"/>
          <w:sz w:val="20"/>
          <w:szCs w:val="20"/>
        </w:rPr>
        <w:t>redactora jefa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del Grupo ATW. "El éxito de Delta es un esfuerzo de equipo realmente gigantesco, pero también requiere un liderazgo visionario y motivador excepcional"</w:t>
      </w:r>
      <w:r>
        <w:rPr>
          <w:rFonts w:ascii="Century Gothic" w:eastAsia="Century Gothic" w:hAnsi="Century Gothic" w:cs="Century Gothic"/>
          <w:sz w:val="20"/>
          <w:szCs w:val="20"/>
        </w:rPr>
        <w:t>.</w:t>
      </w:r>
    </w:p>
    <w:p w14:paraId="2A6F37B1" w14:textId="77777777" w:rsidR="00742DF1" w:rsidRDefault="00742DF1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</w:p>
    <w:p w14:paraId="07B84DCE" w14:textId="77777777" w:rsidR="00742DF1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16"/>
          <w:szCs w:val="16"/>
        </w:rPr>
      </w:pPr>
      <w:r>
        <w:rPr>
          <w:rFonts w:ascii="Century Gothic" w:eastAsia="Century Gothic" w:hAnsi="Century Gothic" w:cs="Century Gothic"/>
          <w:b/>
          <w:i/>
          <w:color w:val="000000"/>
          <w:sz w:val="16"/>
          <w:szCs w:val="16"/>
        </w:rPr>
        <w:t>Acerca de Delta</w:t>
      </w:r>
    </w:p>
    <w:p w14:paraId="448D9CC5" w14:textId="77777777" w:rsidR="00742DF1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16"/>
          <w:szCs w:val="16"/>
        </w:rPr>
      </w:pPr>
      <w:r>
        <w:rPr>
          <w:rFonts w:ascii="Century Gothic" w:eastAsia="Century Gothic" w:hAnsi="Century Gothic" w:cs="Century Gothic"/>
          <w:color w:val="000000"/>
          <w:sz w:val="16"/>
          <w:szCs w:val="16"/>
        </w:rPr>
        <w:t>Más de 90.000 empleados de Delta se encargan de ofrecer una experiencia de primera clase al cliente en más de 4.000 vuelos diarios a más de 275 destinos en seis continentes, conectando a las personas con los lugares y entre sí.</w:t>
      </w:r>
    </w:p>
    <w:p w14:paraId="07C40F9B" w14:textId="77777777" w:rsidR="00742DF1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16"/>
          <w:szCs w:val="16"/>
        </w:rPr>
      </w:pPr>
      <w:r>
        <w:rPr>
          <w:rFonts w:ascii="Century Gothic" w:eastAsia="Century Gothic" w:hAnsi="Century Gothic" w:cs="Century Gothic"/>
          <w:color w:val="000000"/>
          <w:sz w:val="16"/>
          <w:szCs w:val="16"/>
        </w:rPr>
        <w:t>Delta se compromete a prestar servicio a 200 millones de clientes al año, con un servicio al cliente, seguridad, innovación y fiabilidad líderes en el sector, reconocida como la aerolínea más puntual de Norteamérica. Nos dedicamos a garantizar que el futuro de los viajes sea conectado, personalizado y agradable. La motivación genuina y duradera de nuestro personal es hacer que cada cliente se sienta bienvenido y respetado en cada momento de su viaje con nosotros.</w:t>
      </w:r>
    </w:p>
    <w:p w14:paraId="07975F37" w14:textId="77777777" w:rsidR="00742DF1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16"/>
          <w:szCs w:val="16"/>
        </w:rPr>
      </w:pPr>
      <w:r>
        <w:rPr>
          <w:rFonts w:ascii="Century Gothic" w:eastAsia="Century Gothic" w:hAnsi="Century Gothic" w:cs="Century Gothic"/>
          <w:color w:val="000000"/>
          <w:sz w:val="16"/>
          <w:szCs w:val="16"/>
        </w:rPr>
        <w:t xml:space="preserve">Con sede central en Atlanta, Delta opera importantes centros de operaciones y mercados clave en Ámsterdam, Atlanta, Boston, Detroit, Londres-Heathrow, Los Ángeles, Ciudad de México, Minneapolis-St. Paul, Nueva York-JFK y </w:t>
      </w:r>
      <w:proofErr w:type="spellStart"/>
      <w:r>
        <w:rPr>
          <w:rFonts w:ascii="Century Gothic" w:eastAsia="Century Gothic" w:hAnsi="Century Gothic" w:cs="Century Gothic"/>
          <w:color w:val="000000"/>
          <w:sz w:val="16"/>
          <w:szCs w:val="16"/>
        </w:rPr>
        <w:t>LaGuardia</w:t>
      </w:r>
      <w:proofErr w:type="spellEnd"/>
      <w:r>
        <w:rPr>
          <w:rFonts w:ascii="Century Gothic" w:eastAsia="Century Gothic" w:hAnsi="Century Gothic" w:cs="Century Gothic"/>
          <w:color w:val="000000"/>
          <w:sz w:val="16"/>
          <w:szCs w:val="16"/>
        </w:rPr>
        <w:t>, París-Charles de Gaulle, Salt Lake City, Seattle, Seúl-Incheon y Tokio.</w:t>
      </w:r>
    </w:p>
    <w:p w14:paraId="552C7368" w14:textId="77777777" w:rsidR="00742DF1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16"/>
          <w:szCs w:val="16"/>
        </w:rPr>
      </w:pPr>
      <w:r>
        <w:rPr>
          <w:rFonts w:ascii="Century Gothic" w:eastAsia="Century Gothic" w:hAnsi="Century Gothic" w:cs="Century Gothic"/>
          <w:color w:val="000000"/>
          <w:sz w:val="16"/>
          <w:szCs w:val="16"/>
        </w:rPr>
        <w:t>Como aerolínea líder mundial, la misión de Delta de conectar el mundo crea oportunidades, fomenta el entendimiento y amplía horizontes conectando a personas y comunidades entre sí y con su potencial.</w:t>
      </w:r>
    </w:p>
    <w:p w14:paraId="25543FFD" w14:textId="77777777" w:rsidR="00742DF1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16"/>
          <w:szCs w:val="16"/>
        </w:rPr>
      </w:pPr>
      <w:r>
        <w:rPr>
          <w:rFonts w:ascii="Century Gothic" w:eastAsia="Century Gothic" w:hAnsi="Century Gothic" w:cs="Century Gothic"/>
          <w:color w:val="000000"/>
          <w:sz w:val="16"/>
          <w:szCs w:val="16"/>
        </w:rPr>
        <w:t xml:space="preserve">Impulsada por asociaciones innovadoras y estratégicas con Aeroméxico, Air France-KLM, China Eastern, </w:t>
      </w:r>
      <w:proofErr w:type="spellStart"/>
      <w:r>
        <w:rPr>
          <w:rFonts w:ascii="Century Gothic" w:eastAsia="Century Gothic" w:hAnsi="Century Gothic" w:cs="Century Gothic"/>
          <w:color w:val="000000"/>
          <w:sz w:val="16"/>
          <w:szCs w:val="16"/>
        </w:rPr>
        <w:t>Korean</w:t>
      </w:r>
      <w:proofErr w:type="spellEnd"/>
      <w:r>
        <w:rPr>
          <w:rFonts w:ascii="Century Gothic" w:eastAsia="Century Gothic" w:hAnsi="Century Gothic" w:cs="Century Gothic"/>
          <w:color w:val="000000"/>
          <w:sz w:val="16"/>
          <w:szCs w:val="16"/>
        </w:rPr>
        <w:t xml:space="preserve"> Air, LATAM, </w:t>
      </w:r>
      <w:proofErr w:type="spellStart"/>
      <w:r>
        <w:rPr>
          <w:rFonts w:ascii="Century Gothic" w:eastAsia="Century Gothic" w:hAnsi="Century Gothic" w:cs="Century Gothic"/>
          <w:color w:val="000000"/>
          <w:sz w:val="16"/>
          <w:szCs w:val="16"/>
        </w:rPr>
        <w:t>Virgin</w:t>
      </w:r>
      <w:proofErr w:type="spellEnd"/>
      <w:r>
        <w:rPr>
          <w:rFonts w:ascii="Century Gothic" w:eastAsia="Century Gothic" w:hAnsi="Century Gothic" w:cs="Century Gothic"/>
          <w:color w:val="000000"/>
          <w:sz w:val="16"/>
          <w:szCs w:val="16"/>
        </w:rPr>
        <w:t xml:space="preserve"> Atlantic y </w:t>
      </w:r>
      <w:proofErr w:type="spellStart"/>
      <w:r>
        <w:rPr>
          <w:rFonts w:ascii="Century Gothic" w:eastAsia="Century Gothic" w:hAnsi="Century Gothic" w:cs="Century Gothic"/>
          <w:color w:val="000000"/>
          <w:sz w:val="16"/>
          <w:szCs w:val="16"/>
        </w:rPr>
        <w:t>WestJet</w:t>
      </w:r>
      <w:proofErr w:type="spellEnd"/>
      <w:r>
        <w:rPr>
          <w:rFonts w:ascii="Century Gothic" w:eastAsia="Century Gothic" w:hAnsi="Century Gothic" w:cs="Century Gothic"/>
          <w:color w:val="000000"/>
          <w:sz w:val="16"/>
          <w:szCs w:val="16"/>
        </w:rPr>
        <w:t>, Delta ofrece más opciones y competencia a sus clientes de todo el mundo.</w:t>
      </w:r>
    </w:p>
    <w:p w14:paraId="2C279345" w14:textId="77777777" w:rsidR="00742DF1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16"/>
          <w:szCs w:val="16"/>
        </w:rPr>
      </w:pPr>
      <w:r>
        <w:rPr>
          <w:rFonts w:ascii="Century Gothic" w:eastAsia="Century Gothic" w:hAnsi="Century Gothic" w:cs="Century Gothic"/>
          <w:sz w:val="16"/>
          <w:szCs w:val="16"/>
        </w:rPr>
        <w:t>Recientemente</w:t>
      </w:r>
      <w:r>
        <w:rPr>
          <w:rFonts w:ascii="Century Gothic" w:eastAsia="Century Gothic" w:hAnsi="Century Gothic" w:cs="Century Gothic"/>
          <w:color w:val="000000"/>
          <w:sz w:val="16"/>
          <w:szCs w:val="16"/>
        </w:rPr>
        <w:t xml:space="preserve">, Delta puso en marcha el mayor programa transatlántico de su historia, ofreciendo casi 620 vuelos semanales a </w:t>
      </w:r>
      <w:proofErr w:type="gramStart"/>
      <w:r>
        <w:rPr>
          <w:rFonts w:ascii="Century Gothic" w:eastAsia="Century Gothic" w:hAnsi="Century Gothic" w:cs="Century Gothic"/>
          <w:color w:val="000000"/>
          <w:sz w:val="16"/>
          <w:szCs w:val="16"/>
        </w:rPr>
        <w:t>EE.UU.</w:t>
      </w:r>
      <w:proofErr w:type="gramEnd"/>
      <w:r>
        <w:rPr>
          <w:rFonts w:ascii="Century Gothic" w:eastAsia="Century Gothic" w:hAnsi="Century Gothic" w:cs="Century Gothic"/>
          <w:color w:val="000000"/>
          <w:sz w:val="16"/>
          <w:szCs w:val="16"/>
        </w:rPr>
        <w:t xml:space="preserve"> desde 32 aeropuertos europeos.</w:t>
      </w:r>
    </w:p>
    <w:p w14:paraId="0549870D" w14:textId="77777777" w:rsidR="00742DF1" w:rsidRDefault="00742DF1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16"/>
          <w:szCs w:val="16"/>
        </w:rPr>
      </w:pPr>
    </w:p>
    <w:sectPr w:rsidR="00742DF1">
      <w:headerReference w:type="default" r:id="rId9"/>
      <w:footerReference w:type="default" r:id="rId10"/>
      <w:pgSz w:w="12240" w:h="15840"/>
      <w:pgMar w:top="921" w:right="1608" w:bottom="941" w:left="1560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B2B06" w14:textId="77777777" w:rsidR="005D2DAF" w:rsidRDefault="005D2DAF">
      <w:pPr>
        <w:spacing w:line="240" w:lineRule="auto"/>
        <w:ind w:left="0" w:hanging="2"/>
      </w:pPr>
      <w:r>
        <w:separator/>
      </w:r>
    </w:p>
  </w:endnote>
  <w:endnote w:type="continuationSeparator" w:id="0">
    <w:p w14:paraId="5E2132AE" w14:textId="77777777" w:rsidR="005D2DAF" w:rsidRDefault="005D2DA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09894" w14:textId="77777777" w:rsidR="00742DF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right"/>
      <w:rPr>
        <w:rFonts w:ascii="Century Gothic" w:eastAsia="Century Gothic" w:hAnsi="Century Gothic" w:cs="Century Gothic"/>
        <w:color w:val="000000"/>
        <w:sz w:val="18"/>
        <w:szCs w:val="18"/>
      </w:rPr>
    </w:pPr>
    <w:r>
      <w:rPr>
        <w:rFonts w:ascii="Century Gothic" w:eastAsia="Century Gothic" w:hAnsi="Century Gothic" w:cs="Century Gothic"/>
        <w:color w:val="000000"/>
        <w:sz w:val="18"/>
        <w:szCs w:val="18"/>
      </w:rPr>
      <w:fldChar w:fldCharType="begin"/>
    </w:r>
    <w:r>
      <w:rPr>
        <w:rFonts w:ascii="Century Gothic" w:eastAsia="Century Gothic" w:hAnsi="Century Gothic" w:cs="Century Gothic"/>
        <w:color w:val="000000"/>
        <w:sz w:val="18"/>
        <w:szCs w:val="18"/>
      </w:rPr>
      <w:instrText>PAGE</w:instrText>
    </w:r>
    <w:r>
      <w:rPr>
        <w:rFonts w:ascii="Century Gothic" w:eastAsia="Century Gothic" w:hAnsi="Century Gothic" w:cs="Century Gothic"/>
        <w:color w:val="000000"/>
        <w:sz w:val="18"/>
        <w:szCs w:val="18"/>
      </w:rPr>
      <w:fldChar w:fldCharType="separate"/>
    </w:r>
    <w:r w:rsidR="005C29F3">
      <w:rPr>
        <w:rFonts w:ascii="Century Gothic" w:eastAsia="Century Gothic" w:hAnsi="Century Gothic" w:cs="Century Gothic"/>
        <w:noProof/>
        <w:color w:val="000000"/>
        <w:sz w:val="18"/>
        <w:szCs w:val="18"/>
      </w:rPr>
      <w:t>1</w:t>
    </w:r>
    <w:r>
      <w:rPr>
        <w:rFonts w:ascii="Century Gothic" w:eastAsia="Century Gothic" w:hAnsi="Century Gothic" w:cs="Century Gothic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1D445" w14:textId="77777777" w:rsidR="005D2DAF" w:rsidRDefault="005D2DAF">
      <w:pPr>
        <w:spacing w:line="240" w:lineRule="auto"/>
        <w:ind w:left="0" w:hanging="2"/>
      </w:pPr>
      <w:r>
        <w:separator/>
      </w:r>
    </w:p>
  </w:footnote>
  <w:footnote w:type="continuationSeparator" w:id="0">
    <w:p w14:paraId="3CC1358E" w14:textId="77777777" w:rsidR="005D2DAF" w:rsidRDefault="005D2DAF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EF18C" w14:textId="77777777" w:rsidR="00742DF1" w:rsidRDefault="00742DF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  <w:p w14:paraId="0FA589CA" w14:textId="77777777" w:rsidR="00742DF1" w:rsidRDefault="00742DF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  <w:p w14:paraId="5CA3BC82" w14:textId="77777777" w:rsidR="00742DF1" w:rsidRDefault="00742DF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DF1"/>
    <w:rsid w:val="005C29F3"/>
    <w:rsid w:val="005D2DAF"/>
    <w:rsid w:val="00742DF1"/>
    <w:rsid w:val="009C2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E9CFF4"/>
  <w15:docId w15:val="{5CA29C1D-437F-8D4D-914F-E4ECEB0DC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-ES" w:eastAsia="es-ES_trad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s-E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</w:pPr>
    <w:rPr>
      <w:color w:val="000000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table" w:customStyle="1" w:styleId="TableNormal0">
    <w:name w:val="Table Normal"/>
    <w:next w:val="Table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character" w:styleId="nfasi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Textosinformato">
    <w:name w:val="Plain Text"/>
    <w:basedOn w:val="Normal"/>
    <w:qFormat/>
    <w:pPr>
      <w:spacing w:line="240" w:lineRule="auto"/>
    </w:pPr>
    <w:rPr>
      <w:rFonts w:ascii="Consolas" w:eastAsia="Calibri" w:hAnsi="Consolas" w:cs="Times New Roman"/>
      <w:sz w:val="21"/>
      <w:szCs w:val="21"/>
      <w:lang w:val="en-US" w:eastAsia="en-US"/>
    </w:rPr>
  </w:style>
  <w:style w:type="character" w:customStyle="1" w:styleId="TextosinformatoCar">
    <w:name w:val="Texto sin formato Car"/>
    <w:rPr>
      <w:rFonts w:ascii="Consolas" w:eastAsia="Calibri" w:hAnsi="Consolas" w:cs="Times New Roman"/>
      <w:w w:val="100"/>
      <w:position w:val="-1"/>
      <w:sz w:val="21"/>
      <w:szCs w:val="21"/>
      <w:effect w:val="none"/>
      <w:vertAlign w:val="baseline"/>
      <w:cs w:val="0"/>
      <w:em w:val="none"/>
      <w:lang w:val="en-US" w:eastAsia="en-US"/>
    </w:rPr>
  </w:style>
  <w:style w:type="table" w:styleId="Tabladecuadrcula4">
    <w:name w:val="Grid Table 4"/>
    <w:basedOn w:val="Tab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Times New Roman"/>
      <w:position w:val="-1"/>
      <w:lang w:val="en-US" w:eastAsia="en-US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</w:style>
  <w:style w:type="paragraph" w:styleId="Prrafodelista">
    <w:name w:val="List Paragraph"/>
    <w:basedOn w:val="Normal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nsa@sergat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wZI4nzOD7d9RoybzBVbedQ2mfg==">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782</Words>
  <Characters>4093</Characters>
  <Application>Microsoft Office Word</Application>
  <DocSecurity>0</DocSecurity>
  <Lines>70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Sergat</dc:creator>
  <cp:keywords/>
  <dc:description/>
  <cp:lastModifiedBy>Ana</cp:lastModifiedBy>
  <cp:revision>3</cp:revision>
  <dcterms:created xsi:type="dcterms:W3CDTF">2024-02-28T11:49:00Z</dcterms:created>
  <dcterms:modified xsi:type="dcterms:W3CDTF">2024-02-28T14:42:00Z</dcterms:modified>
  <cp:category/>
</cp:coreProperties>
</file>