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FC1AB" w14:textId="77777777" w:rsidR="008B1CA5"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5A557C96" w14:textId="77777777" w:rsidR="008B1CA5"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1C995A90" w14:textId="77777777" w:rsidR="008B1CA5"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42341882" w14:textId="77777777" w:rsidR="008B1CA5"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639D1707" w14:textId="77777777" w:rsidR="008B1CA5"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8B1CA5" w14:paraId="5E0D5FAE" w14:textId="77777777">
        <w:trPr>
          <w:jc w:val="center"/>
        </w:trPr>
        <w:tc>
          <w:tcPr>
            <w:tcW w:w="5775" w:type="dxa"/>
            <w:vAlign w:val="center"/>
          </w:tcPr>
          <w:p w14:paraId="1C8965A6" w14:textId="77777777" w:rsidR="008B1CA5" w:rsidRDefault="008B1CA5">
            <w:pPr>
              <w:jc w:val="center"/>
              <w:rPr>
                <w:sz w:val="20"/>
                <w:szCs w:val="20"/>
              </w:rPr>
            </w:pPr>
          </w:p>
        </w:tc>
      </w:tr>
    </w:tbl>
    <w:p w14:paraId="421C6FE6" w14:textId="77777777" w:rsidR="008B1CA5"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ampliará su red sudamericana con el lanzamiento de servicios a Bogotá a partir del 3 de junio</w:t>
      </w:r>
    </w:p>
    <w:p w14:paraId="57FDB4A7" w14:textId="77777777" w:rsidR="008B1CA5" w:rsidRDefault="00000000">
      <w:pPr>
        <w:numPr>
          <w:ilvl w:val="0"/>
          <w:numId w:val="1"/>
        </w:numPr>
        <w:pBdr>
          <w:top w:val="nil"/>
          <w:left w:val="nil"/>
          <w:bottom w:val="nil"/>
          <w:right w:val="nil"/>
          <w:between w:val="nil"/>
        </w:pBdr>
        <w:spacing w:before="280" w:line="360" w:lineRule="auto"/>
        <w:jc w:val="center"/>
        <w:rPr>
          <w:i/>
          <w:color w:val="000000"/>
          <w:sz w:val="22"/>
          <w:szCs w:val="22"/>
        </w:rPr>
      </w:pPr>
      <w:r>
        <w:rPr>
          <w:rFonts w:ascii="Century Gothic" w:eastAsia="Century Gothic" w:hAnsi="Century Gothic" w:cs="Century Gothic"/>
          <w:i/>
          <w:color w:val="000000"/>
          <w:sz w:val="22"/>
          <w:szCs w:val="22"/>
        </w:rPr>
        <w:t>Emirates operará vuelos diarios a Bogotá vía Miami en aviones Boeing 777-300ER de tres clases y fuselaje ancho</w:t>
      </w:r>
    </w:p>
    <w:p w14:paraId="3B084C4D" w14:textId="56C15E4F" w:rsidR="008B1CA5" w:rsidRDefault="00000000">
      <w:pPr>
        <w:numPr>
          <w:ilvl w:val="0"/>
          <w:numId w:val="1"/>
        </w:numPr>
        <w:pBdr>
          <w:top w:val="nil"/>
          <w:left w:val="nil"/>
          <w:bottom w:val="nil"/>
          <w:right w:val="nil"/>
          <w:between w:val="nil"/>
        </w:pBdr>
        <w:spacing w:line="360" w:lineRule="auto"/>
        <w:jc w:val="center"/>
        <w:rPr>
          <w:i/>
          <w:color w:val="000000"/>
          <w:sz w:val="22"/>
          <w:szCs w:val="22"/>
        </w:rPr>
      </w:pPr>
      <w:r>
        <w:rPr>
          <w:rFonts w:ascii="Century Gothic" w:eastAsia="Century Gothic" w:hAnsi="Century Gothic" w:cs="Century Gothic"/>
          <w:i/>
          <w:color w:val="000000"/>
          <w:sz w:val="22"/>
          <w:szCs w:val="22"/>
        </w:rPr>
        <w:t xml:space="preserve">Los vuelos de la aerolínea en el </w:t>
      </w:r>
      <w:r>
        <w:rPr>
          <w:rFonts w:ascii="Century Gothic" w:eastAsia="Century Gothic" w:hAnsi="Century Gothic" w:cs="Century Gothic"/>
          <w:i/>
          <w:sz w:val="22"/>
          <w:szCs w:val="22"/>
        </w:rPr>
        <w:t xml:space="preserve">tramo </w:t>
      </w:r>
      <w:r>
        <w:rPr>
          <w:rFonts w:ascii="Century Gothic" w:eastAsia="Century Gothic" w:hAnsi="Century Gothic" w:cs="Century Gothic"/>
          <w:i/>
          <w:color w:val="000000"/>
          <w:sz w:val="22"/>
          <w:szCs w:val="22"/>
        </w:rPr>
        <w:t xml:space="preserve">Bogotá-Miami introducirán servicios premium en la popular ruta, incluyendo asientos </w:t>
      </w:r>
      <w:r w:rsidR="007616E2">
        <w:rPr>
          <w:rFonts w:ascii="Century Gothic" w:eastAsia="Century Gothic" w:hAnsi="Century Gothic" w:cs="Century Gothic"/>
          <w:i/>
          <w:color w:val="000000"/>
          <w:sz w:val="22"/>
          <w:szCs w:val="22"/>
        </w:rPr>
        <w:t>cama</w:t>
      </w:r>
      <w:r>
        <w:rPr>
          <w:rFonts w:ascii="Century Gothic" w:eastAsia="Century Gothic" w:hAnsi="Century Gothic" w:cs="Century Gothic"/>
          <w:i/>
          <w:color w:val="000000"/>
          <w:sz w:val="22"/>
          <w:szCs w:val="22"/>
        </w:rPr>
        <w:t xml:space="preserve"> en </w:t>
      </w:r>
      <w:proofErr w:type="spellStart"/>
      <w:r>
        <w:rPr>
          <w:rFonts w:ascii="Century Gothic" w:eastAsia="Century Gothic" w:hAnsi="Century Gothic" w:cs="Century Gothic"/>
          <w:i/>
          <w:color w:val="000000"/>
          <w:sz w:val="22"/>
          <w:szCs w:val="22"/>
        </w:rPr>
        <w:t>First</w:t>
      </w:r>
      <w:proofErr w:type="spellEnd"/>
      <w:r>
        <w:rPr>
          <w:rFonts w:ascii="Century Gothic" w:eastAsia="Century Gothic" w:hAnsi="Century Gothic" w:cs="Century Gothic"/>
          <w:i/>
          <w:color w:val="000000"/>
          <w:sz w:val="22"/>
          <w:szCs w:val="22"/>
        </w:rPr>
        <w:t xml:space="preserve"> </w:t>
      </w:r>
      <w:proofErr w:type="spellStart"/>
      <w:r>
        <w:rPr>
          <w:rFonts w:ascii="Century Gothic" w:eastAsia="Century Gothic" w:hAnsi="Century Gothic" w:cs="Century Gothic"/>
          <w:i/>
          <w:color w:val="000000"/>
          <w:sz w:val="22"/>
          <w:szCs w:val="22"/>
        </w:rPr>
        <w:t>Class</w:t>
      </w:r>
      <w:proofErr w:type="spellEnd"/>
      <w:r>
        <w:rPr>
          <w:rFonts w:ascii="Century Gothic" w:eastAsia="Century Gothic" w:hAnsi="Century Gothic" w:cs="Century Gothic"/>
          <w:i/>
          <w:color w:val="000000"/>
          <w:sz w:val="22"/>
          <w:szCs w:val="22"/>
        </w:rPr>
        <w:t xml:space="preserve"> y Business </w:t>
      </w:r>
      <w:proofErr w:type="spellStart"/>
      <w:r>
        <w:rPr>
          <w:rFonts w:ascii="Century Gothic" w:eastAsia="Century Gothic" w:hAnsi="Century Gothic" w:cs="Century Gothic"/>
          <w:i/>
          <w:color w:val="000000"/>
          <w:sz w:val="22"/>
          <w:szCs w:val="22"/>
        </w:rPr>
        <w:t>Class</w:t>
      </w:r>
      <w:proofErr w:type="spellEnd"/>
      <w:r>
        <w:rPr>
          <w:rFonts w:ascii="Century Gothic" w:eastAsia="Century Gothic" w:hAnsi="Century Gothic" w:cs="Century Gothic"/>
          <w:i/>
          <w:color w:val="000000"/>
          <w:sz w:val="22"/>
          <w:szCs w:val="22"/>
        </w:rPr>
        <w:t xml:space="preserve">, una generosa </w:t>
      </w:r>
      <w:r>
        <w:rPr>
          <w:rFonts w:ascii="Century Gothic" w:eastAsia="Century Gothic" w:hAnsi="Century Gothic" w:cs="Century Gothic"/>
          <w:i/>
          <w:sz w:val="22"/>
          <w:szCs w:val="22"/>
        </w:rPr>
        <w:t>política</w:t>
      </w:r>
      <w:r>
        <w:rPr>
          <w:rFonts w:ascii="Century Gothic" w:eastAsia="Century Gothic" w:hAnsi="Century Gothic" w:cs="Century Gothic"/>
          <w:i/>
          <w:color w:val="000000"/>
          <w:sz w:val="22"/>
          <w:szCs w:val="22"/>
        </w:rPr>
        <w:t xml:space="preserve"> de equipaje, cenas y entretenimiento a bordo gratuitos</w:t>
      </w:r>
    </w:p>
    <w:p w14:paraId="4863F373" w14:textId="6FFF0EF4" w:rsidR="008B1CA5" w:rsidRPr="00321A4F" w:rsidRDefault="00000000">
      <w:pPr>
        <w:numPr>
          <w:ilvl w:val="0"/>
          <w:numId w:val="1"/>
        </w:numPr>
        <w:pBdr>
          <w:top w:val="nil"/>
          <w:left w:val="nil"/>
          <w:bottom w:val="nil"/>
          <w:right w:val="nil"/>
          <w:between w:val="nil"/>
        </w:pBdr>
        <w:spacing w:line="360" w:lineRule="auto"/>
        <w:jc w:val="center"/>
        <w:rPr>
          <w:i/>
          <w:color w:val="000000"/>
          <w:sz w:val="22"/>
          <w:szCs w:val="22"/>
        </w:rPr>
      </w:pPr>
      <w:r>
        <w:rPr>
          <w:rFonts w:ascii="Century Gothic" w:eastAsia="Century Gothic" w:hAnsi="Century Gothic" w:cs="Century Gothic"/>
          <w:i/>
          <w:color w:val="000000"/>
          <w:sz w:val="22"/>
          <w:szCs w:val="22"/>
        </w:rPr>
        <w:t xml:space="preserve">Bogotá se convertirá en la cuarta puerta de entrada de Emirates en Sudamérica; </w:t>
      </w:r>
      <w:r>
        <w:rPr>
          <w:rFonts w:ascii="Century Gothic" w:eastAsia="Century Gothic" w:hAnsi="Century Gothic" w:cs="Century Gothic"/>
          <w:i/>
          <w:sz w:val="22"/>
          <w:szCs w:val="22"/>
        </w:rPr>
        <w:t>y su</w:t>
      </w:r>
      <w:r>
        <w:rPr>
          <w:rFonts w:ascii="Century Gothic" w:eastAsia="Century Gothic" w:hAnsi="Century Gothic" w:cs="Century Gothic"/>
          <w:i/>
          <w:color w:val="000000"/>
          <w:sz w:val="22"/>
          <w:szCs w:val="22"/>
        </w:rPr>
        <w:t xml:space="preserve"> red se ampliará a 19 puntos en todo el continente americano</w:t>
      </w:r>
    </w:p>
    <w:p w14:paraId="26EDA44C" w14:textId="77777777" w:rsidR="00321A4F" w:rsidRDefault="00321A4F" w:rsidP="00321A4F">
      <w:pPr>
        <w:pBdr>
          <w:top w:val="nil"/>
          <w:left w:val="nil"/>
          <w:bottom w:val="nil"/>
          <w:right w:val="nil"/>
          <w:between w:val="nil"/>
        </w:pBdr>
        <w:spacing w:line="360" w:lineRule="auto"/>
        <w:ind w:left="720"/>
        <w:rPr>
          <w:i/>
          <w:color w:val="000000"/>
          <w:sz w:val="22"/>
          <w:szCs w:val="22"/>
        </w:rPr>
      </w:pPr>
    </w:p>
    <w:p w14:paraId="3D7F5593" w14:textId="05C4C29E"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w:t>
      </w:r>
      <w:r w:rsidR="00321A4F">
        <w:rPr>
          <w:rFonts w:ascii="Century Gothic" w:eastAsia="Century Gothic" w:hAnsi="Century Gothic" w:cs="Century Gothic"/>
          <w:b/>
          <w:sz w:val="22"/>
          <w:szCs w:val="22"/>
        </w:rPr>
        <w:t>,</w:t>
      </w:r>
      <w:r>
        <w:rPr>
          <w:rFonts w:ascii="Century Gothic" w:eastAsia="Century Gothic" w:hAnsi="Century Gothic" w:cs="Century Gothic"/>
          <w:b/>
          <w:sz w:val="22"/>
          <w:szCs w:val="22"/>
        </w:rPr>
        <w:t xml:space="preserve"> 21 de febrero de 2024:</w:t>
      </w:r>
      <w:r>
        <w:t xml:space="preserve"> </w:t>
      </w:r>
      <w:r>
        <w:rPr>
          <w:rFonts w:ascii="Century Gothic" w:eastAsia="Century Gothic" w:hAnsi="Century Gothic" w:cs="Century Gothic"/>
          <w:sz w:val="22"/>
          <w:szCs w:val="22"/>
        </w:rPr>
        <w:t xml:space="preserve"> Emirates ha anunciado hoy el lanzamiento de un nuevo servicio diario entre Dubái y Bogotá a partir del 3 de junio.</w:t>
      </w:r>
    </w:p>
    <w:p w14:paraId="5902B73A"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Además de conectar Colombia con los Emiratos Árabes Unidos, los nuevos servicios establecerán por primera vez un enlace histórico entre la región de Oriente Medio y el norte del continente sudamericano. La entrada de Emirates en Bogotá ampliará su red sudamericana a cuatro destinos, complementando sus servicios regulares a São Paulo, Río de Janeiro y Buenos Aires. El nuevo destino también mejorará las operaciones de la aerolínea en el continente, volando a 19 puntos en los EE. UU., Canadá, México, Brasil, Argentina y Colombia.</w:t>
      </w:r>
    </w:p>
    <w:p w14:paraId="583C0934"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servicios diarios unirán Dubái y Bogotá vía Miami, y Emirates se convertirá en la primera aerolínea en ofrecer servicios premium en la popular ruta entre el sur de Florida y Colombia.</w:t>
      </w:r>
    </w:p>
    <w:p w14:paraId="123A07A1" w14:textId="686AD40E"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lastRenderedPageBreak/>
        <w:t xml:space="preserve">Sir Tim Clark, presidente de Emirates </w:t>
      </w:r>
      <w:proofErr w:type="spellStart"/>
      <w:r>
        <w:rPr>
          <w:rFonts w:ascii="Century Gothic" w:eastAsia="Century Gothic" w:hAnsi="Century Gothic" w:cs="Century Gothic"/>
          <w:b/>
          <w:sz w:val="22"/>
          <w:szCs w:val="22"/>
        </w:rPr>
        <w:t>Airline</w:t>
      </w:r>
      <w:proofErr w:type="spellEnd"/>
      <w:r>
        <w:rPr>
          <w:rFonts w:ascii="Century Gothic" w:eastAsia="Century Gothic" w:hAnsi="Century Gothic" w:cs="Century Gothic"/>
          <w:b/>
          <w:sz w:val="22"/>
          <w:szCs w:val="22"/>
        </w:rPr>
        <w:t>, acerca del lanzamiento de la nueva ruta y destino:</w:t>
      </w:r>
      <w:r>
        <w:rPr>
          <w:rFonts w:ascii="Century Gothic" w:eastAsia="Century Gothic" w:hAnsi="Century Gothic" w:cs="Century Gothic"/>
          <w:sz w:val="22"/>
          <w:szCs w:val="22"/>
        </w:rPr>
        <w:t xml:space="preserve"> "La incorporación de Bogotá a nuestra red es parte de nuestra estrategia para ofrecer una mejor conectividad, ampliar las opciones y la elección de los viajeros y brindar experiencias de primer nivel sin precedentes en tierra y aire. El lanzamiento de nuestras operaciones diarias a la dinámica capital de Colombia también subraya nuestro profundo compromiso con Sudamérica, y ayudará a crear nuevas oportunidades de viajes de negocios y placer para los clientes".</w:t>
      </w:r>
    </w:p>
    <w:p w14:paraId="57436901"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"Hay una gran demanda de viajes hacia y desde Bogotá, y estamos impacientes por que los clientes experimenten los productos y servicios de Emirates en los vuelos entre Bogotá y Dubái, así como entre Bogotá y Miami. Nos gustaría dar las gracias a todas las autoridades implicadas por apoyar nuestros planes y hacer posible esta nueva ruta. Esperamos añadir valor a las nuevas comunidades atendidas y establecer nuevas asociaciones para promover el turismo y el comercio", añade Clark. </w:t>
      </w:r>
    </w:p>
    <w:p w14:paraId="50202A12"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vuelos diarios a Bogotá, la segunda ciudad más grande de Sudamérica por población, ayudarán a satisfacer la fuerte y creciente demanda de viajes aéreos entre Colombia y los Emiratos Árabes Unidos, así como entre Colombia y numerosos destinos de la red global de Emirates más allá de Dubái a los que no se vuela directamente desde Bogotá. También proporcionará cómodos vuelos entre Bogotá y Miami, permitiendo a los viajeros volar entre las dos ciudades con un estilo y comodidad sin precedentes. Debido a la gran altitud de la ciudad de Bogotá, no es posible operar un vuelo sin escalas desde Dubái, por lo que es necesaria una escala. Se eligió Miami por sus vínculos turísticos y comerciales con Bogotá.</w:t>
      </w:r>
    </w:p>
    <w:p w14:paraId="7CFAE527"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pasajeros de los vuelos en ambas direcciones entre Dubái y Bogotá deberán cumplir la normativa de entrada en Estados Unidos y estar en posesión de los documentos requeridos, debido a los trámites de inmigración en Miami. Los ciudadanos colombianos y emiratíes pueden entrar sin visado hasta 90 días en Dubái y Bogotá, respectivamente, gracias a los acuerdos de reciprocidad de visados vigentes entre ambos países.</w:t>
      </w:r>
    </w:p>
    <w:p w14:paraId="40360998"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Los billetes a Bogotá se ponen a la venta hoy para volar a partir del 3 de junio y pueden reservarse en emirates.com, la aplicación de Emirates o a través de agencias de viajes. </w:t>
      </w:r>
    </w:p>
    <w:p w14:paraId="741AF2F1"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vuelos operarán con los siguientes horarios (todos los horarios son locales):</w:t>
      </w:r>
    </w:p>
    <w:p w14:paraId="48E708E0" w14:textId="77777777" w:rsidR="008B1CA5" w:rsidRDefault="008B1CA5"/>
    <w:p w14:paraId="624C66FE" w14:textId="77777777" w:rsidR="008B1CA5" w:rsidRDefault="008B1CA5"/>
    <w:tbl>
      <w:tblPr>
        <w:tblStyle w:val="a0"/>
        <w:tblW w:w="9361" w:type="dxa"/>
        <w:tblInd w:w="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2646"/>
        <w:gridCol w:w="2852"/>
        <w:gridCol w:w="1815"/>
        <w:gridCol w:w="2048"/>
      </w:tblGrid>
      <w:tr w:rsidR="008B1CA5" w14:paraId="1AF8624D" w14:textId="77777777">
        <w:trPr>
          <w:trHeight w:val="810"/>
        </w:trPr>
        <w:tc>
          <w:tcPr>
            <w:tcW w:w="2645" w:type="dxa"/>
            <w:tcBorders>
              <w:top w:val="nil"/>
              <w:left w:val="nil"/>
              <w:bottom w:val="single" w:sz="6" w:space="0" w:color="E0E0E0"/>
              <w:right w:val="nil"/>
            </w:tcBorders>
            <w:shd w:val="clear" w:color="auto" w:fill="F2F2F2"/>
            <w:tcMar>
              <w:top w:w="100" w:type="dxa"/>
              <w:left w:w="180" w:type="dxa"/>
              <w:bottom w:w="100" w:type="dxa"/>
              <w:right w:w="100" w:type="dxa"/>
            </w:tcMar>
          </w:tcPr>
          <w:p w14:paraId="28181483" w14:textId="77777777" w:rsidR="008B1CA5" w:rsidRDefault="00000000">
            <w:pPr>
              <w:spacing w:before="480" w:after="480"/>
              <w:jc w:val="both"/>
              <w:rPr>
                <w:rFonts w:ascii="Helvetica Neue" w:eastAsia="Helvetica Neue" w:hAnsi="Helvetica Neue" w:cs="Helvetica Neue"/>
                <w:b/>
                <w:color w:val="333333"/>
                <w:sz w:val="21"/>
                <w:szCs w:val="21"/>
              </w:rPr>
            </w:pPr>
            <w:r>
              <w:rPr>
                <w:rFonts w:ascii="Helvetica Neue" w:eastAsia="Helvetica Neue" w:hAnsi="Helvetica Neue" w:cs="Helvetica Neue"/>
                <w:b/>
                <w:color w:val="333333"/>
                <w:sz w:val="21"/>
                <w:szCs w:val="21"/>
              </w:rPr>
              <w:t>Fechas</w:t>
            </w:r>
          </w:p>
        </w:tc>
        <w:tc>
          <w:tcPr>
            <w:tcW w:w="2852" w:type="dxa"/>
            <w:tcBorders>
              <w:top w:val="nil"/>
              <w:left w:val="single" w:sz="6" w:space="0" w:color="E0E0E0"/>
              <w:bottom w:val="single" w:sz="6" w:space="0" w:color="E0E0E0"/>
              <w:right w:val="nil"/>
            </w:tcBorders>
            <w:shd w:val="clear" w:color="auto" w:fill="F2F2F2"/>
            <w:tcMar>
              <w:top w:w="100" w:type="dxa"/>
              <w:left w:w="180" w:type="dxa"/>
              <w:bottom w:w="100" w:type="dxa"/>
              <w:right w:w="100" w:type="dxa"/>
            </w:tcMar>
          </w:tcPr>
          <w:p w14:paraId="3ED7B131" w14:textId="77777777" w:rsidR="008B1CA5" w:rsidRDefault="00000000">
            <w:pPr>
              <w:spacing w:before="480" w:after="480"/>
              <w:jc w:val="both"/>
              <w:rPr>
                <w:rFonts w:ascii="Helvetica Neue" w:eastAsia="Helvetica Neue" w:hAnsi="Helvetica Neue" w:cs="Helvetica Neue"/>
                <w:b/>
                <w:color w:val="333333"/>
                <w:sz w:val="21"/>
                <w:szCs w:val="21"/>
              </w:rPr>
            </w:pPr>
            <w:r>
              <w:rPr>
                <w:rFonts w:ascii="Helvetica Neue" w:eastAsia="Helvetica Neue" w:hAnsi="Helvetica Neue" w:cs="Helvetica Neue"/>
                <w:b/>
                <w:color w:val="333333"/>
                <w:sz w:val="21"/>
                <w:szCs w:val="21"/>
              </w:rPr>
              <w:t>Vuelo</w:t>
            </w:r>
          </w:p>
        </w:tc>
        <w:tc>
          <w:tcPr>
            <w:tcW w:w="1815" w:type="dxa"/>
            <w:tcBorders>
              <w:top w:val="nil"/>
              <w:left w:val="single" w:sz="6" w:space="0" w:color="E0E0E0"/>
              <w:bottom w:val="single" w:sz="6" w:space="0" w:color="E0E0E0"/>
              <w:right w:val="nil"/>
            </w:tcBorders>
            <w:shd w:val="clear" w:color="auto" w:fill="F2F2F2"/>
            <w:tcMar>
              <w:top w:w="100" w:type="dxa"/>
              <w:left w:w="180" w:type="dxa"/>
              <w:bottom w:w="100" w:type="dxa"/>
              <w:right w:w="100" w:type="dxa"/>
            </w:tcMar>
          </w:tcPr>
          <w:p w14:paraId="73B58934" w14:textId="77777777" w:rsidR="008B1CA5" w:rsidRDefault="00000000">
            <w:pPr>
              <w:spacing w:before="480" w:after="480"/>
              <w:jc w:val="both"/>
              <w:rPr>
                <w:rFonts w:ascii="Helvetica Neue" w:eastAsia="Helvetica Neue" w:hAnsi="Helvetica Neue" w:cs="Helvetica Neue"/>
                <w:b/>
                <w:color w:val="333333"/>
                <w:sz w:val="21"/>
                <w:szCs w:val="21"/>
              </w:rPr>
            </w:pPr>
            <w:r>
              <w:rPr>
                <w:rFonts w:ascii="Helvetica Neue" w:eastAsia="Helvetica Neue" w:hAnsi="Helvetica Neue" w:cs="Helvetica Neue"/>
                <w:b/>
                <w:color w:val="333333"/>
                <w:sz w:val="21"/>
                <w:szCs w:val="21"/>
              </w:rPr>
              <w:t xml:space="preserve">Salida </w:t>
            </w:r>
          </w:p>
        </w:tc>
        <w:tc>
          <w:tcPr>
            <w:tcW w:w="2048" w:type="dxa"/>
            <w:tcBorders>
              <w:top w:val="nil"/>
              <w:left w:val="single" w:sz="6" w:space="0" w:color="E0E0E0"/>
              <w:bottom w:val="single" w:sz="6" w:space="0" w:color="E0E0E0"/>
              <w:right w:val="nil"/>
            </w:tcBorders>
            <w:shd w:val="clear" w:color="auto" w:fill="F2F2F2"/>
            <w:tcMar>
              <w:top w:w="100" w:type="dxa"/>
              <w:left w:w="180" w:type="dxa"/>
              <w:bottom w:w="100" w:type="dxa"/>
              <w:right w:w="100" w:type="dxa"/>
            </w:tcMar>
          </w:tcPr>
          <w:p w14:paraId="165D7905" w14:textId="77777777" w:rsidR="008B1CA5" w:rsidRDefault="00000000">
            <w:pPr>
              <w:spacing w:before="480" w:after="480"/>
              <w:jc w:val="both"/>
              <w:rPr>
                <w:rFonts w:ascii="Helvetica Neue" w:eastAsia="Helvetica Neue" w:hAnsi="Helvetica Neue" w:cs="Helvetica Neue"/>
                <w:b/>
                <w:color w:val="333333"/>
                <w:sz w:val="21"/>
                <w:szCs w:val="21"/>
              </w:rPr>
            </w:pPr>
            <w:r>
              <w:rPr>
                <w:rFonts w:ascii="Helvetica Neue" w:eastAsia="Helvetica Neue" w:hAnsi="Helvetica Neue" w:cs="Helvetica Neue"/>
                <w:b/>
                <w:color w:val="333333"/>
                <w:sz w:val="21"/>
                <w:szCs w:val="21"/>
              </w:rPr>
              <w:t>Llegada</w:t>
            </w:r>
          </w:p>
        </w:tc>
      </w:tr>
      <w:tr w:rsidR="008B1CA5" w14:paraId="1F4D1B37" w14:textId="77777777">
        <w:trPr>
          <w:trHeight w:val="810"/>
        </w:trPr>
        <w:tc>
          <w:tcPr>
            <w:tcW w:w="2645" w:type="dxa"/>
            <w:vMerge w:val="restart"/>
            <w:tcBorders>
              <w:top w:val="nil"/>
              <w:left w:val="nil"/>
              <w:bottom w:val="single" w:sz="6" w:space="0" w:color="E0E0E0"/>
              <w:right w:val="nil"/>
            </w:tcBorders>
            <w:shd w:val="clear" w:color="auto" w:fill="FAFAFA"/>
            <w:tcMar>
              <w:top w:w="100" w:type="dxa"/>
              <w:left w:w="180" w:type="dxa"/>
              <w:bottom w:w="100" w:type="dxa"/>
              <w:right w:w="100" w:type="dxa"/>
            </w:tcMar>
          </w:tcPr>
          <w:p w14:paraId="45DFE144"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A partir del 3 de junio</w:t>
            </w:r>
          </w:p>
          <w:p w14:paraId="38D1B782"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Programa de verano</w:t>
            </w:r>
          </w:p>
        </w:tc>
        <w:tc>
          <w:tcPr>
            <w:tcW w:w="2852"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6079CCD8"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EK213 (DXB/MIA)</w:t>
            </w:r>
          </w:p>
        </w:tc>
        <w:tc>
          <w:tcPr>
            <w:tcW w:w="1815"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3BB45369"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02:15</w:t>
            </w:r>
          </w:p>
        </w:tc>
        <w:tc>
          <w:tcPr>
            <w:tcW w:w="2048"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0FF0ADED"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10:05</w:t>
            </w:r>
          </w:p>
        </w:tc>
      </w:tr>
      <w:tr w:rsidR="008B1CA5" w14:paraId="1DC9C7B4" w14:textId="77777777">
        <w:trPr>
          <w:trHeight w:val="810"/>
        </w:trPr>
        <w:tc>
          <w:tcPr>
            <w:tcW w:w="2645" w:type="dxa"/>
            <w:vMerge/>
            <w:tcBorders>
              <w:top w:val="nil"/>
              <w:left w:val="nil"/>
              <w:bottom w:val="single" w:sz="6" w:space="0" w:color="E0E0E0"/>
              <w:right w:val="nil"/>
            </w:tcBorders>
            <w:shd w:val="clear" w:color="auto" w:fill="auto"/>
            <w:tcMar>
              <w:top w:w="100" w:type="dxa"/>
              <w:left w:w="100" w:type="dxa"/>
              <w:bottom w:w="100" w:type="dxa"/>
              <w:right w:w="100" w:type="dxa"/>
            </w:tcMar>
          </w:tcPr>
          <w:p w14:paraId="6C19D6B5" w14:textId="77777777" w:rsidR="008B1CA5" w:rsidRDefault="008B1CA5">
            <w:pPr>
              <w:spacing w:before="300" w:after="300"/>
              <w:rPr>
                <w:rFonts w:ascii="Helvetica Neue" w:eastAsia="Helvetica Neue" w:hAnsi="Helvetica Neue" w:cs="Helvetica Neue"/>
                <w:color w:val="333333"/>
                <w:sz w:val="21"/>
                <w:szCs w:val="21"/>
              </w:rPr>
            </w:pPr>
          </w:p>
        </w:tc>
        <w:tc>
          <w:tcPr>
            <w:tcW w:w="2852" w:type="dxa"/>
            <w:tcBorders>
              <w:top w:val="nil"/>
              <w:left w:val="nil"/>
              <w:bottom w:val="single" w:sz="6" w:space="0" w:color="E0E0E0"/>
              <w:right w:val="nil"/>
            </w:tcBorders>
            <w:shd w:val="clear" w:color="auto" w:fill="FAFAFA"/>
            <w:tcMar>
              <w:top w:w="100" w:type="dxa"/>
              <w:left w:w="180" w:type="dxa"/>
              <w:bottom w:w="100" w:type="dxa"/>
              <w:right w:w="100" w:type="dxa"/>
            </w:tcMar>
          </w:tcPr>
          <w:p w14:paraId="364ED3C4"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EK213 (MIA/BOG)</w:t>
            </w:r>
          </w:p>
        </w:tc>
        <w:tc>
          <w:tcPr>
            <w:tcW w:w="1815"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091EE358"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12:35</w:t>
            </w:r>
          </w:p>
        </w:tc>
        <w:tc>
          <w:tcPr>
            <w:tcW w:w="2048"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010451FB"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15:25</w:t>
            </w:r>
          </w:p>
        </w:tc>
      </w:tr>
      <w:tr w:rsidR="008B1CA5" w14:paraId="4132F7FF" w14:textId="77777777">
        <w:trPr>
          <w:trHeight w:val="810"/>
        </w:trPr>
        <w:tc>
          <w:tcPr>
            <w:tcW w:w="2645" w:type="dxa"/>
            <w:vMerge/>
            <w:tcBorders>
              <w:top w:val="nil"/>
              <w:left w:val="nil"/>
              <w:bottom w:val="single" w:sz="6" w:space="0" w:color="E0E0E0"/>
              <w:right w:val="nil"/>
            </w:tcBorders>
            <w:shd w:val="clear" w:color="auto" w:fill="auto"/>
            <w:tcMar>
              <w:top w:w="100" w:type="dxa"/>
              <w:left w:w="100" w:type="dxa"/>
              <w:bottom w:w="100" w:type="dxa"/>
              <w:right w:w="100" w:type="dxa"/>
            </w:tcMar>
          </w:tcPr>
          <w:p w14:paraId="60FEFCBC" w14:textId="77777777" w:rsidR="008B1CA5" w:rsidRDefault="008B1CA5">
            <w:pPr>
              <w:spacing w:before="300" w:after="300"/>
              <w:rPr>
                <w:rFonts w:ascii="Helvetica Neue" w:eastAsia="Helvetica Neue" w:hAnsi="Helvetica Neue" w:cs="Helvetica Neue"/>
                <w:color w:val="333333"/>
                <w:sz w:val="21"/>
                <w:szCs w:val="21"/>
              </w:rPr>
            </w:pPr>
          </w:p>
        </w:tc>
        <w:tc>
          <w:tcPr>
            <w:tcW w:w="2852" w:type="dxa"/>
            <w:tcBorders>
              <w:top w:val="nil"/>
              <w:left w:val="nil"/>
              <w:bottom w:val="single" w:sz="6" w:space="0" w:color="E0E0E0"/>
              <w:right w:val="nil"/>
            </w:tcBorders>
            <w:shd w:val="clear" w:color="auto" w:fill="FAFAFA"/>
            <w:tcMar>
              <w:top w:w="100" w:type="dxa"/>
              <w:left w:w="180" w:type="dxa"/>
              <w:bottom w:w="100" w:type="dxa"/>
              <w:right w:w="100" w:type="dxa"/>
            </w:tcMar>
          </w:tcPr>
          <w:p w14:paraId="3132B46B"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EK214 (BOG/MIA)</w:t>
            </w:r>
          </w:p>
        </w:tc>
        <w:tc>
          <w:tcPr>
            <w:tcW w:w="1815"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01402F43"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17:25</w:t>
            </w:r>
          </w:p>
        </w:tc>
        <w:tc>
          <w:tcPr>
            <w:tcW w:w="2048"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1661CE45"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22:15</w:t>
            </w:r>
          </w:p>
        </w:tc>
      </w:tr>
      <w:tr w:rsidR="008B1CA5" w14:paraId="3FF502A6" w14:textId="77777777">
        <w:trPr>
          <w:trHeight w:val="810"/>
        </w:trPr>
        <w:tc>
          <w:tcPr>
            <w:tcW w:w="2645" w:type="dxa"/>
            <w:vMerge/>
            <w:tcBorders>
              <w:top w:val="nil"/>
              <w:left w:val="nil"/>
              <w:bottom w:val="single" w:sz="6" w:space="0" w:color="E0E0E0"/>
              <w:right w:val="nil"/>
            </w:tcBorders>
            <w:shd w:val="clear" w:color="auto" w:fill="auto"/>
            <w:tcMar>
              <w:top w:w="100" w:type="dxa"/>
              <w:left w:w="100" w:type="dxa"/>
              <w:bottom w:w="100" w:type="dxa"/>
              <w:right w:w="100" w:type="dxa"/>
            </w:tcMar>
          </w:tcPr>
          <w:p w14:paraId="5B60C930" w14:textId="77777777" w:rsidR="008B1CA5" w:rsidRDefault="008B1CA5">
            <w:pPr>
              <w:spacing w:before="300" w:after="300"/>
              <w:rPr>
                <w:rFonts w:ascii="Helvetica Neue" w:eastAsia="Helvetica Neue" w:hAnsi="Helvetica Neue" w:cs="Helvetica Neue"/>
                <w:color w:val="333333"/>
                <w:sz w:val="21"/>
                <w:szCs w:val="21"/>
              </w:rPr>
            </w:pPr>
          </w:p>
        </w:tc>
        <w:tc>
          <w:tcPr>
            <w:tcW w:w="2852" w:type="dxa"/>
            <w:tcBorders>
              <w:top w:val="nil"/>
              <w:left w:val="nil"/>
              <w:bottom w:val="single" w:sz="6" w:space="0" w:color="E0E0E0"/>
              <w:right w:val="nil"/>
            </w:tcBorders>
            <w:shd w:val="clear" w:color="auto" w:fill="FAFAFA"/>
            <w:tcMar>
              <w:top w:w="100" w:type="dxa"/>
              <w:left w:w="180" w:type="dxa"/>
              <w:bottom w:w="100" w:type="dxa"/>
              <w:right w:w="100" w:type="dxa"/>
            </w:tcMar>
          </w:tcPr>
          <w:p w14:paraId="2B132CFA"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EK214 (MIA/DXB)</w:t>
            </w:r>
          </w:p>
        </w:tc>
        <w:tc>
          <w:tcPr>
            <w:tcW w:w="1815"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19B133F0"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00:45</w:t>
            </w:r>
          </w:p>
        </w:tc>
        <w:tc>
          <w:tcPr>
            <w:tcW w:w="2048"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3E222BBF"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23:00</w:t>
            </w:r>
          </w:p>
        </w:tc>
      </w:tr>
      <w:tr w:rsidR="008B1CA5" w14:paraId="653B596D" w14:textId="77777777">
        <w:trPr>
          <w:trHeight w:val="810"/>
        </w:trPr>
        <w:tc>
          <w:tcPr>
            <w:tcW w:w="2645" w:type="dxa"/>
            <w:vMerge w:val="restart"/>
            <w:tcBorders>
              <w:top w:val="nil"/>
              <w:left w:val="nil"/>
              <w:bottom w:val="single" w:sz="6" w:space="0" w:color="E0E0E0"/>
              <w:right w:val="nil"/>
            </w:tcBorders>
            <w:shd w:val="clear" w:color="auto" w:fill="FAFAFA"/>
            <w:tcMar>
              <w:top w:w="100" w:type="dxa"/>
              <w:left w:w="180" w:type="dxa"/>
              <w:bottom w:w="100" w:type="dxa"/>
              <w:right w:w="100" w:type="dxa"/>
            </w:tcMar>
          </w:tcPr>
          <w:p w14:paraId="35735FFD"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A partir del 3 de noviembre</w:t>
            </w:r>
          </w:p>
          <w:p w14:paraId="263643E7"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Plan de invierno</w:t>
            </w:r>
          </w:p>
        </w:tc>
        <w:tc>
          <w:tcPr>
            <w:tcW w:w="2852"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0AD7CA57"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EK213 (DXB/MIA)</w:t>
            </w:r>
          </w:p>
        </w:tc>
        <w:tc>
          <w:tcPr>
            <w:tcW w:w="1815"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137A21C8"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02:15</w:t>
            </w:r>
          </w:p>
        </w:tc>
        <w:tc>
          <w:tcPr>
            <w:tcW w:w="2048"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4F6EB5A5"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09:50</w:t>
            </w:r>
          </w:p>
        </w:tc>
      </w:tr>
      <w:tr w:rsidR="008B1CA5" w14:paraId="1846461B" w14:textId="77777777">
        <w:trPr>
          <w:trHeight w:val="810"/>
        </w:trPr>
        <w:tc>
          <w:tcPr>
            <w:tcW w:w="2645" w:type="dxa"/>
            <w:vMerge/>
            <w:tcBorders>
              <w:top w:val="nil"/>
              <w:left w:val="nil"/>
              <w:bottom w:val="single" w:sz="6" w:space="0" w:color="E0E0E0"/>
              <w:right w:val="nil"/>
            </w:tcBorders>
            <w:shd w:val="clear" w:color="auto" w:fill="auto"/>
            <w:tcMar>
              <w:top w:w="100" w:type="dxa"/>
              <w:left w:w="100" w:type="dxa"/>
              <w:bottom w:w="100" w:type="dxa"/>
              <w:right w:w="100" w:type="dxa"/>
            </w:tcMar>
          </w:tcPr>
          <w:p w14:paraId="30E28650" w14:textId="77777777" w:rsidR="008B1CA5" w:rsidRDefault="008B1CA5">
            <w:pPr>
              <w:spacing w:before="300" w:after="300"/>
              <w:rPr>
                <w:rFonts w:ascii="Helvetica Neue" w:eastAsia="Helvetica Neue" w:hAnsi="Helvetica Neue" w:cs="Helvetica Neue"/>
                <w:color w:val="333333"/>
                <w:sz w:val="21"/>
                <w:szCs w:val="21"/>
              </w:rPr>
            </w:pPr>
          </w:p>
        </w:tc>
        <w:tc>
          <w:tcPr>
            <w:tcW w:w="2852" w:type="dxa"/>
            <w:tcBorders>
              <w:top w:val="nil"/>
              <w:left w:val="nil"/>
              <w:bottom w:val="single" w:sz="6" w:space="0" w:color="E0E0E0"/>
              <w:right w:val="nil"/>
            </w:tcBorders>
            <w:shd w:val="clear" w:color="auto" w:fill="FAFAFA"/>
            <w:tcMar>
              <w:top w:w="100" w:type="dxa"/>
              <w:left w:w="180" w:type="dxa"/>
              <w:bottom w:w="100" w:type="dxa"/>
              <w:right w:w="100" w:type="dxa"/>
            </w:tcMar>
          </w:tcPr>
          <w:p w14:paraId="7D476B1F"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EK213 (MIA/BOG)</w:t>
            </w:r>
          </w:p>
        </w:tc>
        <w:tc>
          <w:tcPr>
            <w:tcW w:w="1815"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37E59014"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12:20</w:t>
            </w:r>
          </w:p>
        </w:tc>
        <w:tc>
          <w:tcPr>
            <w:tcW w:w="2048"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7CD52701"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16:10</w:t>
            </w:r>
          </w:p>
        </w:tc>
      </w:tr>
      <w:tr w:rsidR="008B1CA5" w14:paraId="040DA64D" w14:textId="77777777">
        <w:trPr>
          <w:trHeight w:val="810"/>
        </w:trPr>
        <w:tc>
          <w:tcPr>
            <w:tcW w:w="2645" w:type="dxa"/>
            <w:vMerge/>
            <w:tcBorders>
              <w:top w:val="nil"/>
              <w:left w:val="nil"/>
              <w:bottom w:val="single" w:sz="6" w:space="0" w:color="E0E0E0"/>
              <w:right w:val="nil"/>
            </w:tcBorders>
            <w:shd w:val="clear" w:color="auto" w:fill="auto"/>
            <w:tcMar>
              <w:top w:w="100" w:type="dxa"/>
              <w:left w:w="100" w:type="dxa"/>
              <w:bottom w:w="100" w:type="dxa"/>
              <w:right w:w="100" w:type="dxa"/>
            </w:tcMar>
          </w:tcPr>
          <w:p w14:paraId="5AFC2D48" w14:textId="77777777" w:rsidR="008B1CA5" w:rsidRDefault="008B1CA5">
            <w:pPr>
              <w:spacing w:before="300" w:after="300"/>
              <w:rPr>
                <w:rFonts w:ascii="Helvetica Neue" w:eastAsia="Helvetica Neue" w:hAnsi="Helvetica Neue" w:cs="Helvetica Neue"/>
                <w:color w:val="333333"/>
                <w:sz w:val="21"/>
                <w:szCs w:val="21"/>
              </w:rPr>
            </w:pPr>
          </w:p>
        </w:tc>
        <w:tc>
          <w:tcPr>
            <w:tcW w:w="2852" w:type="dxa"/>
            <w:tcBorders>
              <w:top w:val="nil"/>
              <w:left w:val="nil"/>
              <w:bottom w:val="single" w:sz="6" w:space="0" w:color="E0E0E0"/>
              <w:right w:val="nil"/>
            </w:tcBorders>
            <w:shd w:val="clear" w:color="auto" w:fill="FAFAFA"/>
            <w:tcMar>
              <w:top w:w="100" w:type="dxa"/>
              <w:left w:w="180" w:type="dxa"/>
              <w:bottom w:w="100" w:type="dxa"/>
              <w:right w:w="100" w:type="dxa"/>
            </w:tcMar>
          </w:tcPr>
          <w:p w14:paraId="17621B32"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EK214 (BOG/MIA)</w:t>
            </w:r>
          </w:p>
        </w:tc>
        <w:tc>
          <w:tcPr>
            <w:tcW w:w="1815"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29BA0031"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18:10</w:t>
            </w:r>
          </w:p>
        </w:tc>
        <w:tc>
          <w:tcPr>
            <w:tcW w:w="2048" w:type="dxa"/>
            <w:tcBorders>
              <w:top w:val="nil"/>
              <w:left w:val="single" w:sz="6" w:space="0" w:color="E0E0E0"/>
              <w:bottom w:val="single" w:sz="6" w:space="0" w:color="E0E0E0"/>
              <w:right w:val="nil"/>
            </w:tcBorders>
            <w:shd w:val="clear" w:color="auto" w:fill="FAFAFA"/>
            <w:tcMar>
              <w:top w:w="100" w:type="dxa"/>
              <w:left w:w="180" w:type="dxa"/>
              <w:bottom w:w="100" w:type="dxa"/>
              <w:right w:w="100" w:type="dxa"/>
            </w:tcMar>
          </w:tcPr>
          <w:p w14:paraId="5FA62606"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22:05</w:t>
            </w:r>
          </w:p>
        </w:tc>
      </w:tr>
      <w:tr w:rsidR="008B1CA5" w14:paraId="0006C966" w14:textId="77777777">
        <w:trPr>
          <w:trHeight w:val="810"/>
        </w:trPr>
        <w:tc>
          <w:tcPr>
            <w:tcW w:w="2645" w:type="dxa"/>
            <w:vMerge/>
            <w:tcBorders>
              <w:top w:val="nil"/>
              <w:left w:val="nil"/>
              <w:bottom w:val="single" w:sz="6" w:space="0" w:color="E0E0E0"/>
              <w:right w:val="nil"/>
            </w:tcBorders>
            <w:shd w:val="clear" w:color="auto" w:fill="auto"/>
            <w:tcMar>
              <w:top w:w="100" w:type="dxa"/>
              <w:left w:w="100" w:type="dxa"/>
              <w:bottom w:w="100" w:type="dxa"/>
              <w:right w:w="100" w:type="dxa"/>
            </w:tcMar>
          </w:tcPr>
          <w:p w14:paraId="1AB17D97" w14:textId="77777777" w:rsidR="008B1CA5" w:rsidRDefault="008B1CA5">
            <w:pPr>
              <w:spacing w:before="300" w:after="300"/>
              <w:rPr>
                <w:rFonts w:ascii="Helvetica Neue" w:eastAsia="Helvetica Neue" w:hAnsi="Helvetica Neue" w:cs="Helvetica Neue"/>
                <w:color w:val="333333"/>
                <w:sz w:val="21"/>
                <w:szCs w:val="21"/>
              </w:rPr>
            </w:pPr>
          </w:p>
        </w:tc>
        <w:tc>
          <w:tcPr>
            <w:tcW w:w="2852" w:type="dxa"/>
            <w:tcBorders>
              <w:top w:val="nil"/>
              <w:left w:val="nil"/>
              <w:bottom w:val="nil"/>
              <w:right w:val="nil"/>
            </w:tcBorders>
            <w:shd w:val="clear" w:color="auto" w:fill="FAFAFA"/>
            <w:tcMar>
              <w:top w:w="100" w:type="dxa"/>
              <w:left w:w="180" w:type="dxa"/>
              <w:bottom w:w="100" w:type="dxa"/>
              <w:right w:w="100" w:type="dxa"/>
            </w:tcMar>
          </w:tcPr>
          <w:p w14:paraId="262BC460"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EK214 (MIA/DXB)</w:t>
            </w:r>
          </w:p>
        </w:tc>
        <w:tc>
          <w:tcPr>
            <w:tcW w:w="1815" w:type="dxa"/>
            <w:tcBorders>
              <w:top w:val="nil"/>
              <w:left w:val="single" w:sz="6" w:space="0" w:color="E0E0E0"/>
              <w:bottom w:val="nil"/>
              <w:right w:val="nil"/>
            </w:tcBorders>
            <w:shd w:val="clear" w:color="auto" w:fill="FAFAFA"/>
            <w:tcMar>
              <w:top w:w="100" w:type="dxa"/>
              <w:left w:w="180" w:type="dxa"/>
              <w:bottom w:w="100" w:type="dxa"/>
              <w:right w:w="100" w:type="dxa"/>
            </w:tcMar>
          </w:tcPr>
          <w:p w14:paraId="78196B64"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00:35</w:t>
            </w:r>
          </w:p>
        </w:tc>
        <w:tc>
          <w:tcPr>
            <w:tcW w:w="2048" w:type="dxa"/>
            <w:tcBorders>
              <w:top w:val="nil"/>
              <w:left w:val="single" w:sz="6" w:space="0" w:color="E0E0E0"/>
              <w:bottom w:val="nil"/>
              <w:right w:val="nil"/>
            </w:tcBorders>
            <w:shd w:val="clear" w:color="auto" w:fill="FAFAFA"/>
            <w:tcMar>
              <w:top w:w="100" w:type="dxa"/>
              <w:left w:w="180" w:type="dxa"/>
              <w:bottom w:w="100" w:type="dxa"/>
              <w:right w:w="100" w:type="dxa"/>
            </w:tcMar>
          </w:tcPr>
          <w:p w14:paraId="0239D757" w14:textId="77777777" w:rsidR="008B1CA5" w:rsidRDefault="00000000">
            <w:pPr>
              <w:spacing w:before="480" w:after="480"/>
              <w:jc w:val="both"/>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23:50</w:t>
            </w:r>
          </w:p>
        </w:tc>
      </w:tr>
    </w:tbl>
    <w:p w14:paraId="1F6908A7" w14:textId="77777777" w:rsidR="008B1CA5" w:rsidRDefault="008B1CA5"/>
    <w:p w14:paraId="1B7DBACB" w14:textId="77777777" w:rsidR="008B1CA5" w:rsidRDefault="008B1CA5"/>
    <w:p w14:paraId="4173B53B" w14:textId="21078484"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avión Boeing 777-300ER de Emirates ofrecerá 354 asientos en tres cabinas y elevará el listón de los servicios premium en la ruta Bogotá - Miami. Asientos </w:t>
      </w:r>
      <w:r w:rsidR="007616E2">
        <w:rPr>
          <w:rFonts w:ascii="Century Gothic" w:eastAsia="Century Gothic" w:hAnsi="Century Gothic" w:cs="Century Gothic"/>
          <w:sz w:val="22"/>
          <w:szCs w:val="22"/>
        </w:rPr>
        <w:t>cama</w:t>
      </w:r>
      <w:r>
        <w:rPr>
          <w:rFonts w:ascii="Century Gothic" w:eastAsia="Century Gothic" w:hAnsi="Century Gothic" w:cs="Century Gothic"/>
          <w:sz w:val="22"/>
          <w:szCs w:val="22"/>
        </w:rPr>
        <w:t xml:space="preserve"> en </w:t>
      </w:r>
      <w:proofErr w:type="spellStart"/>
      <w:r>
        <w:rPr>
          <w:rFonts w:ascii="Century Gothic" w:eastAsia="Century Gothic" w:hAnsi="Century Gothic" w:cs="Century Gothic"/>
          <w:sz w:val="22"/>
          <w:szCs w:val="22"/>
        </w:rPr>
        <w:t>First</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Class</w:t>
      </w:r>
      <w:proofErr w:type="spellEnd"/>
      <w:r>
        <w:rPr>
          <w:rFonts w:ascii="Century Gothic" w:eastAsia="Century Gothic" w:hAnsi="Century Gothic" w:cs="Century Gothic"/>
          <w:sz w:val="22"/>
          <w:szCs w:val="22"/>
        </w:rPr>
        <w:t xml:space="preserve"> y Business </w:t>
      </w:r>
      <w:proofErr w:type="spellStart"/>
      <w:r>
        <w:rPr>
          <w:rFonts w:ascii="Century Gothic" w:eastAsia="Century Gothic" w:hAnsi="Century Gothic" w:cs="Century Gothic"/>
          <w:sz w:val="22"/>
          <w:szCs w:val="22"/>
        </w:rPr>
        <w:t>Class</w:t>
      </w:r>
      <w:proofErr w:type="spellEnd"/>
      <w:r>
        <w:rPr>
          <w:rFonts w:ascii="Century Gothic" w:eastAsia="Century Gothic" w:hAnsi="Century Gothic" w:cs="Century Gothic"/>
          <w:sz w:val="22"/>
          <w:szCs w:val="22"/>
        </w:rPr>
        <w:t>, comida y bebida de cortesía y una generosa política de equipaje (se aplican condiciones) son algunas de las primicias que Emirates introducirá en los servicios directos que conectan Colombia y Estados Unidos.</w:t>
      </w:r>
    </w:p>
    <w:p w14:paraId="0EFC7277"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clientes de Emirates también pueden sentarse y relajarse con acceso gratuito a más de 6500 canales de contenido de entretenimiento global cuidadosamente seleccionado, incluso en español, con películas, programas de televisión, música, podcasts, juegos, audiolibros y mucho más en </w:t>
      </w:r>
      <w:r>
        <w:rPr>
          <w:rFonts w:ascii="Century Gothic" w:eastAsia="Century Gothic" w:hAnsi="Century Gothic" w:cs="Century Gothic"/>
          <w:i/>
          <w:sz w:val="22"/>
          <w:szCs w:val="22"/>
        </w:rPr>
        <w:t>ice</w:t>
      </w:r>
      <w:r>
        <w:rPr>
          <w:rFonts w:ascii="Century Gothic" w:eastAsia="Century Gothic" w:hAnsi="Century Gothic" w:cs="Century Gothic"/>
          <w:sz w:val="22"/>
          <w:szCs w:val="22"/>
        </w:rPr>
        <w:t>, el galardonado sistema de entretenimiento a bordo de Emirates.</w:t>
      </w:r>
    </w:p>
    <w:p w14:paraId="05BFE8BF"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nuevos servicios Boeing 777-300ER también ofrecerán hasta 20 toneladas de capacidad para carga en cada vuelo, abriendo el acceso a más mercados globales para las exportaciones colombianas como flores frescas, frutas y verduras y otros productos perecederos.  </w:t>
      </w:r>
    </w:p>
    <w:p w14:paraId="2E508CA1"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Celebrando el lanzamiento de los servicios de Emirates a Colombia, Su Excelencia </w:t>
      </w:r>
      <w:r>
        <w:rPr>
          <w:rFonts w:ascii="Century Gothic" w:eastAsia="Century Gothic" w:hAnsi="Century Gothic" w:cs="Century Gothic"/>
          <w:b/>
          <w:sz w:val="22"/>
          <w:szCs w:val="22"/>
        </w:rPr>
        <w:t>Germán Umaña Mendoza, ministro de comercio, industria y turismo de Colombia, declara:</w:t>
      </w:r>
      <w:r>
        <w:rPr>
          <w:rFonts w:ascii="Century Gothic" w:eastAsia="Century Gothic" w:hAnsi="Century Gothic" w:cs="Century Gothic"/>
          <w:sz w:val="22"/>
          <w:szCs w:val="22"/>
        </w:rPr>
        <w:t xml:space="preserve"> "El lanzamiento de la nueva ruta entre Bogotá y Dubái marca un importante hito en la ampliación de la conectividad de nuestro país, permitiéndonos fortalecer el comercio, la inversión y el turismo. Como parte del gobierno del presidente Gustavo Petro, nuestro objetivo es garantizar oportunidades para el desarrollo y la prosperidad </w:t>
      </w:r>
      <w:r>
        <w:rPr>
          <w:rFonts w:ascii="Century Gothic" w:eastAsia="Century Gothic" w:hAnsi="Century Gothic" w:cs="Century Gothic"/>
          <w:sz w:val="22"/>
          <w:szCs w:val="22"/>
        </w:rPr>
        <w:lastRenderedPageBreak/>
        <w:t>de las comunidades en todos nuestros territorios y, para ello, mantenemos el compromiso de brindar el marco para apoyar la inversión extranjera”.</w:t>
      </w:r>
    </w:p>
    <w:p w14:paraId="632FBA87"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Sobre el lanzamiento de la nueva ruta,</w:t>
      </w:r>
      <w:r>
        <w:rPr>
          <w:rFonts w:ascii="Century Gothic" w:eastAsia="Century Gothic" w:hAnsi="Century Gothic" w:cs="Century Gothic"/>
          <w:b/>
          <w:sz w:val="22"/>
          <w:szCs w:val="22"/>
        </w:rPr>
        <w:t xml:space="preserve"> </w:t>
      </w:r>
      <w:r>
        <w:rPr>
          <w:rFonts w:ascii="Century Gothic" w:eastAsia="Century Gothic" w:hAnsi="Century Gothic" w:cs="Century Gothic"/>
          <w:sz w:val="22"/>
          <w:szCs w:val="22"/>
        </w:rPr>
        <w:t>Su Excelencia</w:t>
      </w:r>
      <w:r>
        <w:rPr>
          <w:rFonts w:ascii="Century Gothic" w:eastAsia="Century Gothic" w:hAnsi="Century Gothic" w:cs="Century Gothic"/>
          <w:b/>
          <w:sz w:val="22"/>
          <w:szCs w:val="22"/>
        </w:rPr>
        <w:t xml:space="preserve"> Sergio París Mendoza, director general de Aerocivil Colombia, añade:</w:t>
      </w:r>
      <w:r>
        <w:rPr>
          <w:rFonts w:ascii="Century Gothic" w:eastAsia="Century Gothic" w:hAnsi="Century Gothic" w:cs="Century Gothic"/>
          <w:sz w:val="22"/>
          <w:szCs w:val="22"/>
        </w:rPr>
        <w:t xml:space="preserve">  "En las relaciones internacionales, Colombia forja caminos hacia nuevos ámbitos de colaboración y entendimiento. Hoy nos sentimos exultantes con la inauguración de un enlace aéreo con la vibrante ciudad de Dubái, que no sólo marca una conexión entre destinos, sino que también simboliza el firme compromiso de nuestra nación con la integración global. Las naciones árabes son testigos de una Colombia próspera y diversa, preparada para cultivar lazos de amistad y prosperidad que trasciendan las fronteras geográficas. En este momento crucial, reafirmamos nuestra dedicación a colaborar estrechamente con nuestros homólogos árabes en pro del desarrollo mutuo y la paz. Que esta nueva ruta aérea a través de Emirates </w:t>
      </w:r>
      <w:proofErr w:type="spellStart"/>
      <w:r>
        <w:rPr>
          <w:rFonts w:ascii="Century Gothic" w:eastAsia="Century Gothic" w:hAnsi="Century Gothic" w:cs="Century Gothic"/>
          <w:sz w:val="22"/>
          <w:szCs w:val="22"/>
        </w:rPr>
        <w:t>Airline</w:t>
      </w:r>
      <w:proofErr w:type="spellEnd"/>
      <w:r>
        <w:rPr>
          <w:rFonts w:ascii="Century Gothic" w:eastAsia="Century Gothic" w:hAnsi="Century Gothic" w:cs="Century Gothic"/>
          <w:sz w:val="22"/>
          <w:szCs w:val="22"/>
        </w:rPr>
        <w:t xml:space="preserve"> anuncie el comienzo de un viaje lleno de oportunidades y éxitos compartidos. Que cada viaje entre nuestras naciones sirva como un faro de cooperación, diálogo y empatía. Que el vínculo entre Colombia y los países árabes perdure eternamente, floreciendo con prosperidad".</w:t>
      </w:r>
    </w:p>
    <w:p w14:paraId="3913B62B"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expansión del transporte aéreo es vital para aumentar las visitas y el impacto económico que el turismo tiene en el estado de Florida", </w:t>
      </w:r>
      <w:r>
        <w:rPr>
          <w:rFonts w:ascii="Century Gothic" w:eastAsia="Century Gothic" w:hAnsi="Century Gothic" w:cs="Century Gothic"/>
          <w:b/>
          <w:sz w:val="22"/>
          <w:szCs w:val="22"/>
        </w:rPr>
        <w:t xml:space="preserve">explica la presidenta y CEO de </w:t>
      </w:r>
      <w:proofErr w:type="spellStart"/>
      <w:r>
        <w:rPr>
          <w:rFonts w:ascii="Century Gothic" w:eastAsia="Century Gothic" w:hAnsi="Century Gothic" w:cs="Century Gothic"/>
          <w:b/>
          <w:sz w:val="22"/>
          <w:szCs w:val="22"/>
        </w:rPr>
        <w:t>Visit</w:t>
      </w:r>
      <w:proofErr w:type="spellEnd"/>
      <w:r>
        <w:rPr>
          <w:rFonts w:ascii="Century Gothic" w:eastAsia="Century Gothic" w:hAnsi="Century Gothic" w:cs="Century Gothic"/>
          <w:b/>
          <w:sz w:val="22"/>
          <w:szCs w:val="22"/>
        </w:rPr>
        <w:t xml:space="preserve"> Florida, Dana Young.</w:t>
      </w:r>
      <w:r>
        <w:rPr>
          <w:rFonts w:ascii="Century Gothic" w:eastAsia="Century Gothic" w:hAnsi="Century Gothic" w:cs="Century Gothic"/>
          <w:sz w:val="22"/>
          <w:szCs w:val="22"/>
        </w:rPr>
        <w:t xml:space="preserve"> "Estamos encantados de que Emirates conecte ahora su vuelo diario de Dubái a Miami con Bogotá, ofreciéndonos oportunidades adicionales para dar la bienvenida a los viajeros colombianos al Estado del Sol".</w:t>
      </w:r>
    </w:p>
    <w:p w14:paraId="44406364"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estatus de Bogotá como importante centro turístico, educativo y cultural le ha valido el sobrenombre de "Atenas de Sudamérica". También es un próspero centro financiero, cuenta con una gran presencia de empresas multinacionales y se ha convertido en un destino MICE por su atractiva ubicación central en las Américas.</w:t>
      </w:r>
    </w:p>
    <w:p w14:paraId="7531D003"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Aunque se espera que Dubái sea el destino final de la mayoría de los viajeros de la ruta Bogotá-Dubái, otros destinos importantes para los viajeros son China continental y Hong Kong, Bangkok, Singapur, Johannesburgo, El Cairo y Delhi. Los vuelos Bogotá-Dubái </w:t>
      </w:r>
      <w:r>
        <w:rPr>
          <w:rFonts w:ascii="Century Gothic" w:eastAsia="Century Gothic" w:hAnsi="Century Gothic" w:cs="Century Gothic"/>
          <w:sz w:val="22"/>
          <w:szCs w:val="22"/>
        </w:rPr>
        <w:lastRenderedPageBreak/>
        <w:t>están convenientemente programados para ofrecer una excelente conectividad si se viaja desde Dubái.</w:t>
      </w:r>
    </w:p>
    <w:p w14:paraId="1305F762"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vuelos de Emirates también facilitarán cómodas conexiones entrantes a Bogotá a través de Dubái desde 78 destinos de su extensa red y generarán nuevos flujos de pasajeros a Bogotá desde mercados de alto crecimiento como los EAU, India, China, Oriente Medio, Extremo Oriente y Australasia.</w:t>
      </w:r>
    </w:p>
    <w:p w14:paraId="66F01A7B"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Tanto si viajan a Dubái como si lo hacen a través de esta ciudad, los viajeros podrán disfrutar de playas bañadas por el sol, actividades culturales, oferta de ocio y hospitalidad de primera clase, así como de una gran variedad de experiencias de primer nivel. </w:t>
      </w:r>
    </w:p>
    <w:p w14:paraId="2434BD26"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164913D4" w14:textId="77777777" w:rsidR="008B1CA5"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Emirates, la mayor aerolínea internacional de pasajeros, opera en España desde 2010. La compañía conecta a los viajeros españoles a través de su </w:t>
      </w:r>
      <w:proofErr w:type="spellStart"/>
      <w:proofErr w:type="gramStart"/>
      <w:r>
        <w:rPr>
          <w:rFonts w:ascii="Century Gothic" w:eastAsia="Century Gothic" w:hAnsi="Century Gothic" w:cs="Century Gothic"/>
          <w:sz w:val="18"/>
          <w:szCs w:val="18"/>
        </w:rPr>
        <w:t>hub</w:t>
      </w:r>
      <w:proofErr w:type="spellEnd"/>
      <w:proofErr w:type="gramEnd"/>
      <w:r>
        <w:rPr>
          <w:rFonts w:ascii="Century Gothic" w:eastAsia="Century Gothic" w:hAnsi="Century Gothic" w:cs="Century Gothic"/>
          <w:sz w:val="18"/>
          <w:szCs w:val="18"/>
        </w:rPr>
        <w:t xml:space="preserve"> global en Dubái con más de 130 destinos en todo el mundo. Emirates une Dubái con Madrid y Barcelona, así como también Ciudad de México vía Barcelona. Emirates ha conseguido el reconocimiento a la "Mejor Primera Clase del Mundo" en los premios Tripadvisor </w:t>
      </w:r>
      <w:proofErr w:type="spellStart"/>
      <w:r>
        <w:rPr>
          <w:rFonts w:ascii="Century Gothic" w:eastAsia="Century Gothic" w:hAnsi="Century Gothic" w:cs="Century Gothic"/>
          <w:sz w:val="18"/>
          <w:szCs w:val="18"/>
        </w:rPr>
        <w:t>Travelers</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Choice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Awards</w:t>
      </w:r>
      <w:proofErr w:type="spellEnd"/>
      <w:r>
        <w:rPr>
          <w:rFonts w:ascii="Century Gothic" w:eastAsia="Century Gothic" w:hAnsi="Century Gothic" w:cs="Century Gothic"/>
          <w:sz w:val="18"/>
          <w:szCs w:val="18"/>
        </w:rPr>
        <w:t xml:space="preserve"> para aerolíneas en 2020; los galardones al "Mejor </w:t>
      </w:r>
      <w:proofErr w:type="spellStart"/>
      <w:r>
        <w:rPr>
          <w:rFonts w:ascii="Century Gothic" w:eastAsia="Century Gothic" w:hAnsi="Century Gothic" w:cs="Century Gothic"/>
          <w:sz w:val="18"/>
          <w:szCs w:val="18"/>
        </w:rPr>
        <w:t>Wi</w:t>
      </w:r>
      <w:proofErr w:type="spellEnd"/>
      <w:r>
        <w:rPr>
          <w:rFonts w:ascii="Century Gothic" w:eastAsia="Century Gothic" w:hAnsi="Century Gothic" w:cs="Century Gothic"/>
          <w:sz w:val="18"/>
          <w:szCs w:val="18"/>
        </w:rPr>
        <w:t xml:space="preserve">-Fi y Mejor Comida y Bebida" en Oriente Medio en los APEX Regional Passenger </w:t>
      </w:r>
      <w:proofErr w:type="spellStart"/>
      <w:r>
        <w:rPr>
          <w:rFonts w:ascii="Century Gothic" w:eastAsia="Century Gothic" w:hAnsi="Century Gothic" w:cs="Century Gothic"/>
          <w:sz w:val="18"/>
          <w:szCs w:val="18"/>
        </w:rPr>
        <w:t>Choice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Awards</w:t>
      </w:r>
      <w:proofErr w:type="spellEnd"/>
      <w:r>
        <w:rPr>
          <w:rFonts w:ascii="Century Gothic" w:eastAsia="Century Gothic" w:hAnsi="Century Gothic" w:cs="Century Gothic"/>
          <w:sz w:val="18"/>
          <w:szCs w:val="18"/>
        </w:rPr>
        <w:t xml:space="preserve">® 2022; "Mejor Entretenimiento a </w:t>
      </w:r>
      <w:proofErr w:type="spellStart"/>
      <w:r>
        <w:rPr>
          <w:rFonts w:ascii="Century Gothic" w:eastAsia="Century Gothic" w:hAnsi="Century Gothic" w:cs="Century Gothic"/>
          <w:sz w:val="18"/>
          <w:szCs w:val="18"/>
        </w:rPr>
        <w:t>Bordo"en</w:t>
      </w:r>
      <w:proofErr w:type="spellEnd"/>
      <w:r>
        <w:rPr>
          <w:rFonts w:ascii="Century Gothic" w:eastAsia="Century Gothic" w:hAnsi="Century Gothic" w:cs="Century Gothic"/>
          <w:sz w:val="18"/>
          <w:szCs w:val="18"/>
        </w:rPr>
        <w:t xml:space="preserve"> los premios Business </w:t>
      </w:r>
      <w:proofErr w:type="spellStart"/>
      <w:r>
        <w:rPr>
          <w:rFonts w:ascii="Century Gothic" w:eastAsia="Century Gothic" w:hAnsi="Century Gothic" w:cs="Century Gothic"/>
          <w:sz w:val="18"/>
          <w:szCs w:val="18"/>
        </w:rPr>
        <w:t>Traveller</w:t>
      </w:r>
      <w:proofErr w:type="spellEnd"/>
      <w:r>
        <w:rPr>
          <w:rFonts w:ascii="Century Gothic" w:eastAsia="Century Gothic" w:hAnsi="Century Gothic" w:cs="Century Gothic"/>
          <w:sz w:val="18"/>
          <w:szCs w:val="18"/>
        </w:rPr>
        <w:t xml:space="preserve"> de 2020; y "Mejor Aerolínea del Mundo en Entretenimiento a Bordo" en los premios </w:t>
      </w:r>
      <w:proofErr w:type="spellStart"/>
      <w:r>
        <w:rPr>
          <w:rFonts w:ascii="Century Gothic" w:eastAsia="Century Gothic" w:hAnsi="Century Gothic" w:cs="Century Gothic"/>
          <w:sz w:val="18"/>
          <w:szCs w:val="18"/>
        </w:rPr>
        <w:t>SkyTrax</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World</w:t>
      </w:r>
      <w:proofErr w:type="spellEnd"/>
      <w:r>
        <w:rPr>
          <w:rFonts w:ascii="Century Gothic" w:eastAsia="Century Gothic" w:hAnsi="Century Gothic" w:cs="Century Gothic"/>
          <w:sz w:val="18"/>
          <w:szCs w:val="18"/>
        </w:rPr>
        <w:t xml:space="preserve"> Airlines de 2022.</w:t>
      </w:r>
    </w:p>
    <w:sectPr w:rsidR="008B1CA5">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19640" w14:textId="77777777" w:rsidR="00B25742" w:rsidRDefault="00B25742">
      <w:r>
        <w:separator/>
      </w:r>
    </w:p>
  </w:endnote>
  <w:endnote w:type="continuationSeparator" w:id="0">
    <w:p w14:paraId="0716956C" w14:textId="77777777" w:rsidR="00B25742" w:rsidRDefault="00B2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BFC0F" w14:textId="77777777" w:rsidR="00B25742" w:rsidRDefault="00B25742">
      <w:r>
        <w:separator/>
      </w:r>
    </w:p>
  </w:footnote>
  <w:footnote w:type="continuationSeparator" w:id="0">
    <w:p w14:paraId="0851B96E" w14:textId="77777777" w:rsidR="00B25742" w:rsidRDefault="00B25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0062" w14:textId="77777777" w:rsidR="008B1CA5"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07CEB5C0" wp14:editId="201F477E">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69267BBA" w14:textId="77777777" w:rsidR="008B1CA5" w:rsidRDefault="008B1CA5">
    <w:pPr>
      <w:pBdr>
        <w:top w:val="nil"/>
        <w:left w:val="nil"/>
        <w:bottom w:val="nil"/>
        <w:right w:val="nil"/>
        <w:between w:val="nil"/>
      </w:pBdr>
      <w:tabs>
        <w:tab w:val="right" w:pos="8478"/>
      </w:tabs>
      <w:spacing w:after="200"/>
      <w:rPr>
        <w:rFonts w:ascii="Cambria" w:eastAsia="Cambria" w:hAnsi="Cambria" w:cs="Cambria"/>
        <w:color w:val="000000"/>
      </w:rPr>
    </w:pPr>
  </w:p>
  <w:p w14:paraId="04657D65" w14:textId="77777777" w:rsidR="008B1CA5" w:rsidRDefault="008B1CA5">
    <w:pPr>
      <w:pBdr>
        <w:top w:val="nil"/>
        <w:left w:val="nil"/>
        <w:bottom w:val="nil"/>
        <w:right w:val="nil"/>
        <w:between w:val="nil"/>
      </w:pBdr>
      <w:tabs>
        <w:tab w:val="right" w:pos="8478"/>
      </w:tabs>
      <w:spacing w:after="200"/>
      <w:rPr>
        <w:rFonts w:ascii="Cambria" w:eastAsia="Cambria" w:hAnsi="Cambria" w:cs="Cambria"/>
        <w:color w:val="000000"/>
      </w:rPr>
    </w:pPr>
  </w:p>
  <w:p w14:paraId="4488319B" w14:textId="77777777" w:rsidR="008B1CA5" w:rsidRDefault="008B1CA5">
    <w:pPr>
      <w:pBdr>
        <w:top w:val="nil"/>
        <w:left w:val="nil"/>
        <w:bottom w:val="nil"/>
        <w:right w:val="nil"/>
        <w:between w:val="nil"/>
      </w:pBdr>
      <w:tabs>
        <w:tab w:val="right" w:pos="8478"/>
      </w:tabs>
      <w:spacing w:after="200"/>
      <w:rPr>
        <w:rFonts w:ascii="Cambria" w:eastAsia="Cambria" w:hAnsi="Cambria" w:cs="Cambria"/>
        <w:color w:val="000000"/>
      </w:rPr>
    </w:pPr>
  </w:p>
  <w:p w14:paraId="37E3DDB4" w14:textId="77777777" w:rsidR="008B1CA5" w:rsidRDefault="008B1CA5">
    <w:pPr>
      <w:pBdr>
        <w:top w:val="nil"/>
        <w:left w:val="nil"/>
        <w:bottom w:val="nil"/>
        <w:right w:val="nil"/>
        <w:between w:val="nil"/>
      </w:pBdr>
      <w:tabs>
        <w:tab w:val="right" w:pos="8478"/>
      </w:tabs>
      <w:spacing w:after="200"/>
      <w:rPr>
        <w:rFonts w:ascii="Cambria" w:eastAsia="Cambria" w:hAnsi="Cambria" w:cs="Cambria"/>
        <w:color w:val="000000"/>
      </w:rPr>
    </w:pPr>
  </w:p>
  <w:p w14:paraId="3BBD066D" w14:textId="77777777" w:rsidR="008B1CA5" w:rsidRDefault="008B1CA5">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174288"/>
    <w:multiLevelType w:val="multilevel"/>
    <w:tmpl w:val="1B34ED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78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CA5"/>
    <w:rsid w:val="00321A4F"/>
    <w:rsid w:val="00642C9D"/>
    <w:rsid w:val="007616E2"/>
    <w:rsid w:val="008B1CA5"/>
    <w:rsid w:val="00AC50C5"/>
    <w:rsid w:val="00B257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E4B4D0F"/>
  <w15:docId w15:val="{EF2E5933-7A2C-F743-9EB1-B08FCBB9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1520</Words>
  <Characters>8059</Characters>
  <Application>Microsoft Office Word</Application>
  <DocSecurity>0</DocSecurity>
  <Lines>171</Lines>
  <Paragraphs>73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9506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4</cp:revision>
  <dcterms:created xsi:type="dcterms:W3CDTF">2024-02-21T13:18:00Z</dcterms:created>
  <dcterms:modified xsi:type="dcterms:W3CDTF">2024-02-21T13:53:00Z</dcterms:modified>
  <cp:category/>
</cp:coreProperties>
</file>