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Contacto:</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EMIRATES </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Sergat </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Tel.: 93 414 02 10</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360" w:lineRule="auto"/>
        <w:jc w:val="both"/>
        <w:rPr>
          <w:rFonts w:ascii="Cambria" w:cs="Cambria" w:eastAsia="Cambria" w:hAnsi="Cambria"/>
          <w:color w:val="000000"/>
        </w:rPr>
      </w:pPr>
      <w:r w:rsidDel="00000000" w:rsidR="00000000" w:rsidRPr="00000000">
        <w:rPr>
          <w:rFonts w:ascii="Century Gothic" w:cs="Century Gothic" w:eastAsia="Century Gothic" w:hAnsi="Century Gothic"/>
          <w:color w:val="000000"/>
          <w:sz w:val="18"/>
          <w:szCs w:val="18"/>
          <w:rtl w:val="0"/>
        </w:rPr>
        <w:t xml:space="preserve">E-mail: </w:t>
      </w:r>
      <w:hyperlink r:id="rId6">
        <w:r w:rsidDel="00000000" w:rsidR="00000000" w:rsidRPr="00000000">
          <w:rPr>
            <w:rFonts w:ascii="Century Gothic" w:cs="Century Gothic" w:eastAsia="Century Gothic" w:hAnsi="Century Gothic"/>
            <w:color w:val="006699"/>
            <w:sz w:val="18"/>
            <w:szCs w:val="18"/>
            <w:rtl w:val="0"/>
          </w:rPr>
          <w:t xml:space="preserve">prensa@sergat.com</w:t>
        </w:r>
      </w:hyperlink>
      <w:r w:rsidDel="00000000" w:rsidR="00000000" w:rsidRPr="00000000">
        <w:rPr>
          <w:rFonts w:ascii="Century Gothic" w:cs="Century Gothic" w:eastAsia="Century Gothic" w:hAnsi="Century Gothic"/>
          <w:sz w:val="18"/>
          <w:szCs w:val="18"/>
          <w:rtl w:val="0"/>
        </w:rPr>
        <w:t xml:space="preserve"> </w:t>
      </w:r>
      <w:r w:rsidDel="00000000" w:rsidR="00000000" w:rsidRPr="00000000">
        <w:rPr>
          <w:rFonts w:ascii="Century Gothic" w:cs="Century Gothic" w:eastAsia="Century Gothic" w:hAnsi="Century Gothic"/>
          <w:color w:val="000000"/>
          <w:sz w:val="18"/>
          <w:szCs w:val="18"/>
          <w:rtl w:val="0"/>
        </w:rPr>
        <w:t xml:space="preserve"> </w:t>
      </w:r>
      <w:r w:rsidDel="00000000" w:rsidR="00000000" w:rsidRPr="00000000">
        <w:rPr>
          <w:rFonts w:ascii="Century Gothic" w:cs="Century Gothic" w:eastAsia="Century Gothic" w:hAnsi="Century Gothic"/>
          <w:color w:val="0000ff"/>
          <w:sz w:val="18"/>
          <w:szCs w:val="18"/>
          <w:rtl w:val="0"/>
        </w:rPr>
        <w:t xml:space="preserve"> </w:t>
      </w:r>
      <w:r w:rsidDel="00000000" w:rsidR="00000000" w:rsidRPr="00000000">
        <w:rPr>
          <w:rtl w:val="0"/>
        </w:rPr>
      </w:r>
    </w:p>
    <w:tbl>
      <w:tblPr>
        <w:tblStyle w:val="Table1"/>
        <w:tblW w:w="5775.0" w:type="dxa"/>
        <w:jc w:val="center"/>
        <w:tblLayout w:type="fixed"/>
        <w:tblLook w:val="0400"/>
      </w:tblPr>
      <w:tblGrid>
        <w:gridCol w:w="5775"/>
        <w:tblGridChange w:id="0">
          <w:tblGrid>
            <w:gridCol w:w="5775"/>
          </w:tblGrid>
        </w:tblGridChange>
      </w:tblGrid>
      <w:tr>
        <w:trPr>
          <w:cantSplit w:val="0"/>
          <w:tblHeader w:val="0"/>
        </w:trPr>
        <w:tc>
          <w:tcPr>
            <w:vAlign w:val="center"/>
          </w:tcPr>
          <w:p w:rsidR="00000000" w:rsidDel="00000000" w:rsidP="00000000" w:rsidRDefault="00000000" w:rsidRPr="00000000" w14:paraId="00000006">
            <w:pPr>
              <w:jc w:val="center"/>
              <w:rPr>
                <w:sz w:val="20"/>
                <w:szCs w:val="20"/>
              </w:rPr>
            </w:pPr>
            <w:r w:rsidDel="00000000" w:rsidR="00000000" w:rsidRPr="00000000">
              <w:rPr>
                <w:rtl w:val="0"/>
              </w:rPr>
            </w:r>
          </w:p>
        </w:tc>
      </w:tr>
    </w:tbl>
    <w:p w:rsidR="00000000" w:rsidDel="00000000" w:rsidP="00000000" w:rsidRDefault="00000000" w:rsidRPr="00000000" w14:paraId="00000007">
      <w:pPr>
        <w:pBdr>
          <w:top w:space="0" w:sz="0" w:val="nil"/>
          <w:left w:space="0" w:sz="0" w:val="nil"/>
          <w:bottom w:space="0" w:sz="0" w:val="nil"/>
          <w:right w:space="0" w:sz="0" w:val="nil"/>
          <w:between w:space="0" w:sz="0" w:val="nil"/>
        </w:pBdr>
        <w:spacing w:before="280" w:line="360" w:lineRule="auto"/>
        <w:jc w:val="center"/>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Emirates refuerza sus vuelos a Osaka con la introducción de un A380 equipado con Premium Economy</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sz w:val="22"/>
          <w:szCs w:val="22"/>
          <w:rtl w:val="0"/>
        </w:rPr>
        <w:t xml:space="preserve">Dubái, 07 de febrero de 2024</w:t>
      </w:r>
      <w:r w:rsidDel="00000000" w:rsidR="00000000" w:rsidRPr="00000000">
        <w:rPr>
          <w:rtl w:val="0"/>
        </w:rPr>
        <w:t xml:space="preserve"> </w:t>
      </w:r>
      <w:r w:rsidDel="00000000" w:rsidR="00000000" w:rsidRPr="00000000">
        <w:rPr>
          <w:rFonts w:ascii="Century Gothic" w:cs="Century Gothic" w:eastAsia="Century Gothic" w:hAnsi="Century Gothic"/>
          <w:sz w:val="22"/>
          <w:szCs w:val="22"/>
          <w:rtl w:val="0"/>
        </w:rPr>
        <w:t xml:space="preserve">- Emirates aumentará sus servicios a Osaka con la introducción del A380 a partir del 1 de junio de 2024. El avión estará equipado con el nuevo producto de la aerolínea, Premium Economy. Osaka se convierte así en la segunda puerta de entrada a Japón que operará con el avión recién modernizado. El servicio actualizado ofrecerá una mayor capacidad de asientos en los vuelos desde y hacia la segunda ciudad más grande de Japón, además de introducir la popular clase Premium Economy e interiores renovados en las cabinas de las clases First, Business y Economy.</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 partir del 1 de junio, el A380 de cuatro clases de Emirates sustituirá a los Boeing 777-300ER de la aerolínea que actualmente operan el servicio EK316/EK317 desde y hacia el Aeropuerto Internacional Kansai de Osaka (KIX). Con la mejora de las operaciones del A380, Emirates ofrecerá 910 asientos semanales adicionales entre Dubái y Osaka, brindando más oportunidades de conectar con Dubái y otros destinos populares para los viajeros, como Milán, Madrid, Brasil, París y Londres. Emirates celebró el 20.ª aniversario de sus servicios entre Dubái y Osaka el año pasado y, durante ese tiempo, la aerolínea transportó a más de 220.000 pasajeros en más de 360 vuelos entre las dos puertas de entrada en 2023. </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El A380 de cuatro clases de Emirates introducido en Osaka contará con 14 suites de First Class; 76 asientos reclinables en Business Class; 56 asientos en Premium Economy; y 338 asientos de diseño ergonómico en Economy. En un A380 de Emirates de cuatro clases, la cabina Premium Economy está situada en la parte delantera de la cubierta principal con los 56 asientos dispuestos en una configuración 2-4-2. En la cabina, cada centímetro de espacio se anticipa a las necesidades del cliente con una generosa separación y anchura de asiento para trabajar y relajarse, y cuenta con características personalizadas que ofrecen funcionalidad y comodidad como puntos de carga en el asiento y una mesa de cóctel lateral. La experiencia se completa con servicios a bordo cuidadosamente seleccionados, un menú innovador y una amplia variedad de bebidas. El entretenimiento a bordo, </w:t>
      </w:r>
      <w:r w:rsidDel="00000000" w:rsidR="00000000" w:rsidRPr="00000000">
        <w:rPr>
          <w:rFonts w:ascii="Century Gothic" w:cs="Century Gothic" w:eastAsia="Century Gothic" w:hAnsi="Century Gothic"/>
          <w:i w:val="1"/>
          <w:sz w:val="22"/>
          <w:szCs w:val="22"/>
          <w:rtl w:val="0"/>
        </w:rPr>
        <w:t xml:space="preserve">ice,</w:t>
      </w:r>
      <w:r w:rsidDel="00000000" w:rsidR="00000000" w:rsidRPr="00000000">
        <w:rPr>
          <w:rFonts w:ascii="Century Gothic" w:cs="Century Gothic" w:eastAsia="Century Gothic" w:hAnsi="Century Gothic"/>
          <w:sz w:val="22"/>
          <w:szCs w:val="22"/>
          <w:rtl w:val="0"/>
        </w:rPr>
        <w:t xml:space="preserve"> de Emirates incluye hasta 6500 canales de películas, programas de televisión y música. Los clientes que vuelen tanto en clase Business como en First disfrutarán de acceso a la sala VIP a bordo de Emirates, mientras que los pasajeros de First Class tendrán acceso exclusivo al lujoso Shower Spa de la aerolínea. Además, los pasajeros podrán disfrutar de la galardonada hospitalidad de Emirates y de comidas preparadas con ingredientes cuidadosamente seleccionados de todo el mundo.</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En diciembre de 2023, Emirates lanzó su producto Premium Economy en la ruta Dubái-Narita, y hasta ahora ha suscitado un gran interés entre los clientes. El producto distintivo de la aerolínea está disponible actualmente en vuelos a otros 14 destinos en todo el mundo, incluyendo Nueva York JFK, Los Ángeles, San Francisco, Houston, Londres Heathrow, Sídney, Auckland, Christchurch, Melbourne, Singapur, Mumbai, Bangalore, Sao Paulo y Dubái.</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Las operaciones del A380 de la aerolínea al Aeropuerto Internacional de Kansai (KIX) se producen en un momento en el que Japón espera un aumento del turismo a través de las atracciones únicas de la región de Kansai, como Osaka y Kioto, además de una apretada agenda de eventos, incluida la Expo Osaka-Kansai prevista para 2025. Emirates también opera un servicio diario A380 de cuatro clases a Tokio Narita y un servicio diario con el Boeing 777-300ER a Tokio Haneda. A través de sus operaciones regulares a los tres mayores centros de viajes internacionales de Japón, Emirates ofrece una práctica conectividad aérea para atender la creciente demanda. </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Como parte de su compromiso con los viajeros, Emirates anunció el año pasado la reanudación de su servicio de conducción con chófer en Tokio Haneda para los clientes de First Class y Business Class. Emirates también ha introducido un servicio de autobús gratuito para los clientes de Economy desde el aeropuerto de Tokio Haneda hasta las principales estaciones de tren: Tokio (TYO) y Shinagawa (SGW).</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Para más información, visite: </w:t>
      </w:r>
      <w:hyperlink r:id="rId7">
        <w:r w:rsidDel="00000000" w:rsidR="00000000" w:rsidRPr="00000000">
          <w:rPr>
            <w:rFonts w:ascii="Century Gothic" w:cs="Century Gothic" w:eastAsia="Century Gothic" w:hAnsi="Century Gothic"/>
            <w:color w:val="0000ff"/>
            <w:sz w:val="22"/>
            <w:szCs w:val="22"/>
            <w:u w:val="single"/>
            <w:rtl w:val="0"/>
          </w:rPr>
          <w:t xml:space="preserve">www.emirates.com</w:t>
        </w:r>
      </w:hyperlink>
      <w:r w:rsidDel="00000000" w:rsidR="00000000" w:rsidRPr="00000000">
        <w:rPr>
          <w:rFonts w:ascii="Century Gothic" w:cs="Century Gothic" w:eastAsia="Century Gothic" w:hAnsi="Century Gothic"/>
          <w:sz w:val="22"/>
          <w:szCs w:val="22"/>
          <w:rtl w:val="0"/>
        </w:rPr>
        <w:t xml:space="preserve"> </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i w:val="1"/>
          <w:color w:val="000000"/>
          <w:sz w:val="18"/>
          <w:szCs w:val="18"/>
          <w:rtl w:val="0"/>
        </w:rPr>
        <w:t xml:space="preserve">Acerca de Emirates</w:t>
      </w: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Emirates, la mayor aerolínea internacional de pasajeros, opera en España desde 2010. La compañía conecta a los viajeros españoles a través de su hub global en Dubái con más de 130 destinos en todo el mundo. Emirates une Dubái con Madrid y Barcelona, así como también Ciudad de México vía Barcelona. Emirates ha conseguido el reconocimiento a la "Mejor Primera Clase del Mundo" en los premios Tripadvisor Travelers' Choice Awards para aerolíneas en 2020; los galardones al "Mejor Wi-Fi y Mejor Comida y Bebida" en Oriente Medio en los APEX Regional Passenger Choice Awards® 2022; "Mejor Entretenimiento a Bordo"en los premios Business Traveller de 2020; y "Mejor Aerolínea del Mundo en Entretenimiento a Bordo" en los premios SkyTrax World Airlines de 2022.</w:t>
      </w:r>
    </w:p>
    <w:sectPr>
      <w:headerReference r:id="rId8" w:type="default"/>
      <w:pgSz w:h="16840" w:w="11900" w:orient="portrait"/>
      <w:pgMar w:bottom="734" w:top="1417" w:left="1276" w:right="1268"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entury Gothic"/>
  <w:font w:name="Cambr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2073275" cy="1430655"/>
          <wp:effectExtent b="0" l="0" r="0" t="0"/>
          <wp:wrapSquare wrapText="bothSides" distB="0" distT="0" distL="0" distR="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073275" cy="1430655"/>
                  </a:xfrm>
                  <a:prstGeom prst="rect"/>
                  <a:ln/>
                </pic:spPr>
              </pic:pic>
            </a:graphicData>
          </a:graphic>
        </wp:anchor>
      </w:drawing>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color w:val="000000"/>
      <w:sz w:val="48"/>
      <w:szCs w:val="48"/>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b w:val="1"/>
      <w:color w:val="000000"/>
      <w:sz w:val="36"/>
      <w:szCs w:val="36"/>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after="80" w:before="280" w:lineRule="auto"/>
    </w:pPr>
    <w:rPr>
      <w:b w:val="1"/>
      <w:color w:val="000000"/>
      <w:sz w:val="28"/>
      <w:szCs w:val="28"/>
    </w:rPr>
  </w:style>
  <w:style w:type="paragraph" w:styleId="Heading4">
    <w:name w:val="heading 4"/>
    <w:basedOn w:val="Normal"/>
    <w:next w:val="Normal"/>
    <w:pPr>
      <w:keepNext w:val="1"/>
      <w:keepLines w:val="1"/>
      <w:pBdr>
        <w:top w:space="0" w:sz="0" w:val="nil"/>
        <w:left w:space="0" w:sz="0" w:val="nil"/>
        <w:bottom w:space="0" w:sz="0" w:val="nil"/>
        <w:right w:space="0" w:sz="0" w:val="nil"/>
        <w:between w:space="0" w:sz="0" w:val="nil"/>
      </w:pBdr>
      <w:spacing w:after="40" w:before="240" w:lineRule="auto"/>
    </w:pPr>
    <w:rPr>
      <w:b w:val="1"/>
      <w:color w:val="000000"/>
    </w:rPr>
  </w:style>
  <w:style w:type="paragraph" w:styleId="Heading5">
    <w:name w:val="heading 5"/>
    <w:basedOn w:val="Normal"/>
    <w:next w:val="Normal"/>
    <w:pPr>
      <w:keepNext w:val="1"/>
      <w:keepLines w:val="1"/>
      <w:pBdr>
        <w:top w:space="0" w:sz="0" w:val="nil"/>
        <w:left w:space="0" w:sz="0" w:val="nil"/>
        <w:bottom w:space="0" w:sz="0" w:val="nil"/>
        <w:right w:space="0" w:sz="0" w:val="nil"/>
        <w:between w:space="0" w:sz="0" w:val="nil"/>
      </w:pBdr>
      <w:spacing w:after="40" w:before="220" w:lineRule="auto"/>
    </w:pPr>
    <w:rPr>
      <w:b w:val="1"/>
      <w:color w:val="000000"/>
      <w:sz w:val="22"/>
      <w:szCs w:val="22"/>
    </w:rPr>
  </w:style>
  <w:style w:type="paragraph" w:styleId="Heading6">
    <w:name w:val="heading 6"/>
    <w:basedOn w:val="Normal"/>
    <w:next w:val="Normal"/>
    <w:pPr>
      <w:keepNext w:val="1"/>
      <w:keepLines w:val="1"/>
      <w:pBdr>
        <w:top w:space="0" w:sz="0" w:val="nil"/>
        <w:left w:space="0" w:sz="0" w:val="nil"/>
        <w:bottom w:space="0" w:sz="0" w:val="nil"/>
        <w:right w:space="0" w:sz="0" w:val="nil"/>
        <w:between w:space="0" w:sz="0" w:val="nil"/>
      </w:pBdr>
      <w:spacing w:after="40" w:before="200" w:lineRule="auto"/>
    </w:pPr>
    <w:rPr>
      <w:b w:val="1"/>
      <w:color w:val="000000"/>
      <w:sz w:val="20"/>
      <w:szCs w:val="20"/>
    </w:rPr>
  </w:style>
  <w:style w:type="paragraph" w:styleId="Title">
    <w:name w:val="Title"/>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color w:val="000000"/>
      <w:sz w:val="72"/>
      <w:szCs w:val="72"/>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prensa@sergat.com" TargetMode="External"/><Relationship Id="rId7" Type="http://schemas.openxmlformats.org/officeDocument/2006/relationships/hyperlink" Target="http://www.emirates.com"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