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AC437" w14:textId="77777777" w:rsidR="00351624" w:rsidRDefault="00351624"/>
    <w:tbl>
      <w:tblPr>
        <w:tblStyle w:val="10"/>
        <w:tblpPr w:vertAnchor="page" w:horzAnchor="margin" w:tblpY="2949"/>
        <w:tblW w:w="2835" w:type="dxa"/>
        <w:tblBorders>
          <w:top w:val="nil"/>
          <w:left w:val="nil"/>
          <w:bottom w:val="nil"/>
          <w:right w:val="nil"/>
          <w:insideH w:val="nil"/>
          <w:insideV w:val="nil"/>
        </w:tblBorders>
        <w:tblLayout w:type="fixed"/>
        <w:tblLook w:val="0400" w:firstRow="0" w:lastRow="0" w:firstColumn="0" w:lastColumn="0" w:noHBand="0" w:noVBand="1"/>
      </w:tblPr>
      <w:tblGrid>
        <w:gridCol w:w="2835"/>
      </w:tblGrid>
      <w:tr w:rsidR="00351624" w14:paraId="35A8DEE4" w14:textId="77777777">
        <w:trPr>
          <w:trHeight w:val="238"/>
        </w:trPr>
        <w:tc>
          <w:tcPr>
            <w:tcW w:w="2835" w:type="dxa"/>
          </w:tcPr>
          <w:p w14:paraId="08C62C94" w14:textId="77777777" w:rsidR="00351624" w:rsidRDefault="00000000">
            <w:pPr>
              <w:pBdr>
                <w:top w:val="nil"/>
                <w:left w:val="nil"/>
                <w:bottom w:val="nil"/>
                <w:right w:val="nil"/>
                <w:between w:val="nil"/>
              </w:pBdr>
              <w:jc w:val="both"/>
              <w:rPr>
                <w:rFonts w:ascii="Times New Roman" w:eastAsia="Times New Roman" w:hAnsi="Times New Roman" w:cs="Times New Roman"/>
                <w:i/>
                <w:color w:val="050033"/>
                <w:sz w:val="21"/>
                <w:szCs w:val="21"/>
              </w:rPr>
            </w:pPr>
            <w:r>
              <w:rPr>
                <w:rFonts w:ascii="Times New Roman" w:eastAsia="Times New Roman" w:hAnsi="Times New Roman" w:cs="Times New Roman"/>
                <w:i/>
                <w:color w:val="050033"/>
                <w:sz w:val="21"/>
                <w:szCs w:val="21"/>
              </w:rPr>
              <w:t>Comunicado de imprensa</w:t>
            </w:r>
          </w:p>
        </w:tc>
      </w:tr>
      <w:tr w:rsidR="00351624" w14:paraId="64102225" w14:textId="77777777">
        <w:trPr>
          <w:trHeight w:val="34"/>
        </w:trPr>
        <w:tc>
          <w:tcPr>
            <w:tcW w:w="2835" w:type="dxa"/>
          </w:tcPr>
          <w:p w14:paraId="2A7BA25A" w14:textId="77777777" w:rsidR="00351624" w:rsidRDefault="00351624">
            <w:pPr>
              <w:jc w:val="both"/>
            </w:pPr>
          </w:p>
        </w:tc>
      </w:tr>
      <w:tr w:rsidR="00351624" w14:paraId="08C76270" w14:textId="77777777">
        <w:trPr>
          <w:trHeight w:val="160"/>
        </w:trPr>
        <w:tc>
          <w:tcPr>
            <w:tcW w:w="2835" w:type="dxa"/>
          </w:tcPr>
          <w:p w14:paraId="59FAE245" w14:textId="77777777" w:rsidR="00351624" w:rsidRDefault="00000000">
            <w:pPr>
              <w:pBdr>
                <w:top w:val="nil"/>
                <w:left w:val="nil"/>
                <w:bottom w:val="nil"/>
                <w:right w:val="nil"/>
                <w:between w:val="nil"/>
              </w:pBdr>
              <w:jc w:val="both"/>
              <w:rPr>
                <w:smallCaps/>
                <w:color w:val="050033"/>
                <w:sz w:val="10"/>
                <w:szCs w:val="10"/>
              </w:rPr>
            </w:pPr>
            <w:r>
              <w:rPr>
                <w:smallCaps/>
                <w:color w:val="050033"/>
                <w:sz w:val="10"/>
                <w:szCs w:val="10"/>
              </w:rPr>
              <w:t>29.02.2024</w:t>
            </w:r>
          </w:p>
        </w:tc>
      </w:tr>
      <w:tr w:rsidR="00351624" w14:paraId="0A1186B4" w14:textId="77777777">
        <w:trPr>
          <w:trHeight w:val="160"/>
        </w:trPr>
        <w:tc>
          <w:tcPr>
            <w:tcW w:w="2835" w:type="dxa"/>
          </w:tcPr>
          <w:p w14:paraId="64180F58" w14:textId="77777777" w:rsidR="00351624" w:rsidRDefault="00351624">
            <w:pPr>
              <w:pBdr>
                <w:top w:val="nil"/>
                <w:left w:val="nil"/>
                <w:bottom w:val="nil"/>
                <w:right w:val="nil"/>
                <w:between w:val="nil"/>
              </w:pBdr>
              <w:jc w:val="both"/>
              <w:rPr>
                <w:smallCaps/>
                <w:color w:val="050033"/>
                <w:sz w:val="10"/>
                <w:szCs w:val="10"/>
              </w:rPr>
            </w:pPr>
          </w:p>
        </w:tc>
      </w:tr>
    </w:tbl>
    <w:p w14:paraId="5D6951CC" w14:textId="77777777" w:rsidR="00351624" w:rsidRDefault="00000000">
      <w:pPr>
        <w:jc w:val="center"/>
        <w:rPr>
          <w:rFonts w:ascii="Times New Roman" w:eastAsia="Times New Roman" w:hAnsi="Times New Roman" w:cs="Times New Roman"/>
          <w:b/>
          <w:i/>
          <w:color w:val="050033"/>
          <w:sz w:val="56"/>
          <w:szCs w:val="56"/>
        </w:rPr>
      </w:pPr>
      <w:r>
        <w:rPr>
          <w:rFonts w:ascii="Times New Roman" w:eastAsia="Times New Roman" w:hAnsi="Times New Roman" w:cs="Times New Roman"/>
          <w:b/>
          <w:i/>
          <w:color w:val="050033"/>
          <w:sz w:val="56"/>
          <w:szCs w:val="56"/>
        </w:rPr>
        <w:t>Viajantes europeus confiantes no seu poder de compra em viagens en 2024</w:t>
      </w:r>
    </w:p>
    <w:p w14:paraId="2C73F7F8" w14:textId="77777777" w:rsidR="00351624" w:rsidRDefault="00351624">
      <w:pPr>
        <w:jc w:val="center"/>
        <w:rPr>
          <w:b/>
          <w:smallCaps/>
          <w:color w:val="050033"/>
          <w:sz w:val="18"/>
          <w:szCs w:val="18"/>
        </w:rPr>
      </w:pPr>
    </w:p>
    <w:p w14:paraId="77FCBE68" w14:textId="77777777" w:rsidR="00351624" w:rsidRDefault="00351624">
      <w:pPr>
        <w:jc w:val="center"/>
        <w:rPr>
          <w:b/>
          <w:smallCaps/>
          <w:color w:val="050033"/>
          <w:sz w:val="18"/>
          <w:szCs w:val="18"/>
        </w:rPr>
      </w:pPr>
    </w:p>
    <w:p w14:paraId="36218967" w14:textId="77777777" w:rsidR="00351624" w:rsidRDefault="00000000">
      <w:pPr>
        <w:jc w:val="center"/>
        <w:rPr>
          <w:b/>
          <w:smallCaps/>
          <w:color w:val="050033"/>
          <w:sz w:val="18"/>
          <w:szCs w:val="18"/>
        </w:rPr>
      </w:pPr>
      <w:r>
        <w:rPr>
          <w:b/>
          <w:smallCaps/>
          <w:color w:val="050033"/>
          <w:sz w:val="18"/>
          <w:szCs w:val="18"/>
        </w:rPr>
        <w:t>NOVO RELATÓRIO ACCOR EXAMINA AS INTENÇÕES E OS FATORES QUE INFLUENCIAM AS SUAS DECISÕES DE VIAGEM</w:t>
      </w:r>
    </w:p>
    <w:p w14:paraId="3FA1045E" w14:textId="77777777" w:rsidR="00351624" w:rsidRDefault="00351624">
      <w:pPr>
        <w:jc w:val="center"/>
        <w:rPr>
          <w:b/>
          <w:smallCaps/>
          <w:color w:val="050033"/>
          <w:sz w:val="18"/>
          <w:szCs w:val="18"/>
        </w:rPr>
      </w:pPr>
    </w:p>
    <w:p w14:paraId="1F315CB9" w14:textId="77777777" w:rsidR="00351624" w:rsidRDefault="00351624">
      <w:pPr>
        <w:jc w:val="both"/>
        <w:rPr>
          <w:color w:val="74758C"/>
        </w:rPr>
      </w:pPr>
    </w:p>
    <w:p w14:paraId="43BEDF20" w14:textId="77777777" w:rsidR="00351624" w:rsidRDefault="00000000">
      <w:pPr>
        <w:jc w:val="both"/>
        <w:rPr>
          <w:color w:val="74758C"/>
        </w:rPr>
      </w:pPr>
      <w:r>
        <w:rPr>
          <w:color w:val="74758C"/>
        </w:rPr>
        <w:t>Os europeus estão confiantes quanto ao seu poder de compra em viagens em 2024, apesar da atual pressão de custo de vida em todo o continente, de acordo com um novo relatório da Accor, o grupo hoteleiro líder mundial.</w:t>
      </w:r>
    </w:p>
    <w:p w14:paraId="0C82B821" w14:textId="77777777" w:rsidR="00351624" w:rsidRDefault="00351624">
      <w:pPr>
        <w:jc w:val="both"/>
        <w:rPr>
          <w:color w:val="74758C"/>
        </w:rPr>
      </w:pPr>
    </w:p>
    <w:p w14:paraId="0DDE73E0" w14:textId="77777777" w:rsidR="00351624" w:rsidRDefault="00000000">
      <w:pPr>
        <w:jc w:val="both"/>
        <w:rPr>
          <w:color w:val="74758C"/>
        </w:rPr>
      </w:pPr>
      <w:r>
        <w:rPr>
          <w:color w:val="74758C"/>
        </w:rPr>
        <w:t>O relatório, baseado no estudo</w:t>
      </w:r>
      <w:r>
        <w:rPr>
          <w:color w:val="74758C"/>
          <w:vertAlign w:val="superscript"/>
        </w:rPr>
        <w:t>1</w:t>
      </w:r>
      <w:r>
        <w:rPr>
          <w:color w:val="74758C"/>
        </w:rPr>
        <w:t xml:space="preserve"> efetuado junto de 8000 viajantes de sete países europeus (Reino Unido, Polónia, Alemanha, Países Baixos, França, Espanha e Itália), revela que mais de metade (54%) acredita que terá mais dinheiro para gastar em viagens em 2024 do que em 2023, em comparação com apenas 11% que dizem que terão menos dinheiro para gastar.</w:t>
      </w:r>
    </w:p>
    <w:p w14:paraId="2A102075" w14:textId="77777777" w:rsidR="00351624" w:rsidRDefault="00351624">
      <w:pPr>
        <w:jc w:val="both"/>
        <w:rPr>
          <w:color w:val="74758C"/>
        </w:rPr>
      </w:pPr>
    </w:p>
    <w:p w14:paraId="47B9F84D" w14:textId="77777777" w:rsidR="00351624" w:rsidRDefault="00000000">
      <w:pPr>
        <w:jc w:val="both"/>
        <w:rPr>
          <w:color w:val="74758C"/>
        </w:rPr>
      </w:pPr>
      <w:r>
        <w:rPr>
          <w:color w:val="74758C"/>
        </w:rPr>
        <w:t>Os residentes na Polónia foram os mais confiantes quanto ao seu poder de compra em viagens este ano, em comparação com o ano passado, com 64% que esperam um aumento do orçamento, em comparação com apenas 7% que esperam uma diminuição. Os residentes na Alemanha são os segundos mais confiantes (61% contra 13%) e, mesmo em Itália, o país menos confiante dos sete, o número de viajantes que preveem um aumento do orçamento (44%) é quase quatro vezes superior ao número dos que preveem uma redução do orçamento (12%).</w:t>
      </w:r>
    </w:p>
    <w:p w14:paraId="44778CF8" w14:textId="77777777" w:rsidR="00351624" w:rsidRDefault="00351624">
      <w:pPr>
        <w:jc w:val="both"/>
        <w:rPr>
          <w:color w:val="74758C"/>
        </w:rPr>
      </w:pPr>
    </w:p>
    <w:p w14:paraId="3967EE9F" w14:textId="77777777" w:rsidR="00351624" w:rsidRDefault="00000000">
      <w:pPr>
        <w:jc w:val="both"/>
        <w:rPr>
          <w:color w:val="74758C"/>
        </w:rPr>
      </w:pPr>
      <w:r>
        <w:rPr>
          <w:color w:val="74758C"/>
        </w:rPr>
        <w:t>O número de viagens de lazer no estrangeiro que as pessoas esperam fazer aumentou ligeiramente em relação ao ano passado, e as viagens internacionais "bleisure", ou seja, viagens que combinam negócios e lazer, também registarão um aumento. Com padrões de trabalho cada vez mais flexíveis e empregadores cada vez mais dispostos a permitir uma maior latitude nas viagens de trabalho dos seus colaboradores, é de assinalar que um em cada cinco viajantes europeus (19%) espera fazer pelo menos uma viagem “bleisure” em 2024.</w:t>
      </w:r>
    </w:p>
    <w:p w14:paraId="633A0C25" w14:textId="77777777" w:rsidR="00351624" w:rsidRDefault="00351624">
      <w:pPr>
        <w:jc w:val="both"/>
        <w:rPr>
          <w:color w:val="74758C"/>
        </w:rPr>
      </w:pPr>
    </w:p>
    <w:p w14:paraId="44F0E519" w14:textId="77777777" w:rsidR="00351624" w:rsidRDefault="00000000">
      <w:pPr>
        <w:jc w:val="both"/>
        <w:rPr>
          <w:color w:val="74758C"/>
        </w:rPr>
      </w:pPr>
      <w:r>
        <w:rPr>
          <w:color w:val="74758C"/>
        </w:rPr>
        <w:t>Os pontos de interesse do sul da Europa continuam no topo da lista dos viajantes europeus, com um em cada quatro (23%) a planear uma viagem a Espanha este ano, seguido de Itália (18%), França (16%), Portugal e Grécia (13%). Para fora da Europa, 16% dos viajantes europeus tencionam fazer uma viagem à América do Norte ou Central este ano, estando a mesma percentagem a planear uma viagem à Ásia.</w:t>
      </w:r>
    </w:p>
    <w:p w14:paraId="6891BB02" w14:textId="77777777" w:rsidR="00351624" w:rsidRDefault="00351624">
      <w:pPr>
        <w:jc w:val="both"/>
        <w:rPr>
          <w:color w:val="74758C"/>
        </w:rPr>
      </w:pPr>
    </w:p>
    <w:p w14:paraId="39C02E25" w14:textId="77777777" w:rsidR="00351624" w:rsidRDefault="00000000">
      <w:pPr>
        <w:jc w:val="both"/>
        <w:rPr>
          <w:b/>
          <w:color w:val="74758C"/>
        </w:rPr>
      </w:pPr>
      <w:r>
        <w:rPr>
          <w:b/>
          <w:color w:val="74758C"/>
        </w:rPr>
        <w:t>Pressões sobre os custos apesar da confiança</w:t>
      </w:r>
    </w:p>
    <w:p w14:paraId="1CB702EE" w14:textId="77777777" w:rsidR="00351624" w:rsidRDefault="00351624">
      <w:pPr>
        <w:jc w:val="both"/>
        <w:rPr>
          <w:color w:val="74758C"/>
        </w:rPr>
      </w:pPr>
    </w:p>
    <w:p w14:paraId="33F834DC" w14:textId="77777777" w:rsidR="00351624" w:rsidRDefault="00000000">
      <w:pPr>
        <w:jc w:val="both"/>
        <w:rPr>
          <w:color w:val="74758C"/>
        </w:rPr>
      </w:pPr>
      <w:r>
        <w:rPr>
          <w:color w:val="74758C"/>
        </w:rPr>
        <w:t xml:space="preserve">Embora gastando mais no geral, as finanças continuam no pensamento dos consumidores, com a grande maioria (87%) a tomar medidas para reduzir os custos sempre que possível, devido à inflação e ao aumento do custo de vida. Desde baixar a categoria do alojamento (27%) até à redução dos gastos com presentes (27%), as medidas de poupança de custos podem moldar as ofertas de viagens no próximo ano. </w:t>
      </w:r>
    </w:p>
    <w:p w14:paraId="5410B1F0" w14:textId="77777777" w:rsidR="00351624" w:rsidRDefault="00351624">
      <w:pPr>
        <w:jc w:val="both"/>
        <w:rPr>
          <w:color w:val="74758C"/>
        </w:rPr>
      </w:pPr>
    </w:p>
    <w:p w14:paraId="1F87321C" w14:textId="77777777" w:rsidR="00351624" w:rsidRDefault="00351624">
      <w:pPr>
        <w:jc w:val="both"/>
        <w:rPr>
          <w:b/>
          <w:color w:val="74758C"/>
        </w:rPr>
      </w:pPr>
    </w:p>
    <w:p w14:paraId="209A218F" w14:textId="77777777" w:rsidR="00351624" w:rsidRDefault="00351624">
      <w:pPr>
        <w:jc w:val="both"/>
        <w:rPr>
          <w:b/>
          <w:color w:val="74758C"/>
        </w:rPr>
      </w:pPr>
    </w:p>
    <w:p w14:paraId="54062611" w14:textId="77777777" w:rsidR="00351624" w:rsidRDefault="00000000">
      <w:pPr>
        <w:jc w:val="both"/>
        <w:rPr>
          <w:b/>
          <w:color w:val="74758C"/>
        </w:rPr>
      </w:pPr>
      <w:r>
        <w:rPr>
          <w:b/>
          <w:color w:val="74758C"/>
        </w:rPr>
        <w:t>Consciência climática</w:t>
      </w:r>
    </w:p>
    <w:p w14:paraId="0AEF4015" w14:textId="77777777" w:rsidR="00351624" w:rsidRDefault="00351624">
      <w:pPr>
        <w:jc w:val="both"/>
        <w:rPr>
          <w:b/>
          <w:color w:val="74758C"/>
        </w:rPr>
      </w:pPr>
    </w:p>
    <w:p w14:paraId="177A1A4E" w14:textId="77777777" w:rsidR="00351624" w:rsidRDefault="00000000">
      <w:pPr>
        <w:jc w:val="both"/>
        <w:rPr>
          <w:color w:val="74758C"/>
        </w:rPr>
      </w:pPr>
      <w:r>
        <w:rPr>
          <w:color w:val="74758C"/>
        </w:rPr>
        <w:t>Sete em cada dez viajantes (71%) afirmam que a sustentabilidade é importante para as suas decisões de viagem. Dos países europeus incluídos na amostra, os viajantes em Itália são os mais focados nas viagens ecológicas, com 82% a afirmarem que ter opções sustentáveis é importante para as suas decisões. Seguem-se a Espanha (78%) e a Polónia (77%), com os viajantes britânicos a ficarem para trás (61%).</w:t>
      </w:r>
    </w:p>
    <w:p w14:paraId="424FF069" w14:textId="77777777" w:rsidR="00351624" w:rsidRDefault="00351624">
      <w:pPr>
        <w:jc w:val="both"/>
        <w:rPr>
          <w:color w:val="74758C"/>
        </w:rPr>
      </w:pPr>
    </w:p>
    <w:p w14:paraId="0FC6D054" w14:textId="77777777" w:rsidR="00351624" w:rsidRDefault="00000000">
      <w:pPr>
        <w:jc w:val="both"/>
        <w:rPr>
          <w:color w:val="74758C"/>
        </w:rPr>
      </w:pPr>
      <w:r>
        <w:rPr>
          <w:color w:val="74758C"/>
        </w:rPr>
        <w:t xml:space="preserve">Três em cada quatro viajantes (77%) afirmam que as preocupações com o clima terão um impacto efetivo no seu comportamento em termos de viagens ou reservas. As medidas que as pessoas tomarão incluem viajar menos (11%); voar menos (14%); e procurar ativamente fornecedores de alojamento ou operadores turísticos sustentáveis (10%). </w:t>
      </w:r>
    </w:p>
    <w:p w14:paraId="5932D45F" w14:textId="77777777" w:rsidR="00351624" w:rsidRDefault="00351624">
      <w:pPr>
        <w:jc w:val="both"/>
        <w:rPr>
          <w:color w:val="74758C"/>
        </w:rPr>
      </w:pPr>
    </w:p>
    <w:p w14:paraId="0E0A20A6" w14:textId="77777777" w:rsidR="00351624" w:rsidRDefault="00000000">
      <w:pPr>
        <w:jc w:val="both"/>
        <w:rPr>
          <w:color w:val="74758C"/>
        </w:rPr>
      </w:pPr>
      <w:r>
        <w:rPr>
          <w:color w:val="74758C"/>
        </w:rPr>
        <w:t xml:space="preserve">No entanto, apesar das suas boas intenções, os viajantes reconhecem que existem obstáculos que os impedem de fazer escolhas de viagem sustentáveis, incluindo pressões de custos contraditórias, citadas por 38% dos inquiridos, e uma perceção de falta de informação (23%). </w:t>
      </w:r>
    </w:p>
    <w:p w14:paraId="35933581" w14:textId="77777777" w:rsidR="00351624" w:rsidRDefault="00351624">
      <w:pPr>
        <w:jc w:val="both"/>
        <w:rPr>
          <w:color w:val="74758C"/>
        </w:rPr>
      </w:pPr>
    </w:p>
    <w:p w14:paraId="6B786E5A" w14:textId="77777777" w:rsidR="00351624" w:rsidRDefault="00000000">
      <w:pPr>
        <w:jc w:val="both"/>
        <w:rPr>
          <w:b/>
          <w:color w:val="74758C"/>
        </w:rPr>
      </w:pPr>
      <w:r>
        <w:rPr>
          <w:b/>
          <w:color w:val="74758C"/>
        </w:rPr>
        <w:t>Época alta mais longa</w:t>
      </w:r>
    </w:p>
    <w:p w14:paraId="062E6065" w14:textId="77777777" w:rsidR="00351624" w:rsidRDefault="00351624">
      <w:pPr>
        <w:jc w:val="both"/>
        <w:rPr>
          <w:color w:val="74758C"/>
        </w:rPr>
      </w:pPr>
    </w:p>
    <w:p w14:paraId="3C34B32C" w14:textId="77777777" w:rsidR="00351624" w:rsidRDefault="00000000">
      <w:pPr>
        <w:jc w:val="both"/>
        <w:rPr>
          <w:color w:val="74758C"/>
        </w:rPr>
      </w:pPr>
      <w:r>
        <w:rPr>
          <w:color w:val="74758C"/>
        </w:rPr>
        <w:t>As alterações climáticas também estão a contribuir parcialmente para outra tendência: evitar a época alta. Um em cada três inquiridos em toda a Europa (32%) afirma que irá propositadamente tirar férias fora da época alta para reduzir os custos; enquanto um em cada cinco (19%) espera fazê-lo para evitar o risco de ondas de calor, como as que se verificaram no verão passado no sul da Europa.</w:t>
      </w:r>
    </w:p>
    <w:p w14:paraId="4CCA6677" w14:textId="77777777" w:rsidR="00351624" w:rsidRDefault="00351624">
      <w:pPr>
        <w:jc w:val="both"/>
        <w:rPr>
          <w:color w:val="74758C"/>
        </w:rPr>
      </w:pPr>
    </w:p>
    <w:p w14:paraId="0BC9C803" w14:textId="77777777" w:rsidR="00351624" w:rsidRDefault="00000000">
      <w:pPr>
        <w:jc w:val="both"/>
        <w:rPr>
          <w:color w:val="74758C"/>
        </w:rPr>
      </w:pPr>
      <w:r>
        <w:rPr>
          <w:color w:val="74758C"/>
        </w:rPr>
        <w:t>Alguns destinos de clima quente poderão ver a sua época turística prolongada em consequência disso, com alguns operadores turísticos a oferecerem já férias em destinos mais quentes.</w:t>
      </w:r>
    </w:p>
    <w:p w14:paraId="570ADA54" w14:textId="77777777" w:rsidR="00351624" w:rsidRDefault="00351624">
      <w:pPr>
        <w:jc w:val="both"/>
        <w:rPr>
          <w:color w:val="74758C"/>
        </w:rPr>
      </w:pPr>
    </w:p>
    <w:p w14:paraId="5666AE0B" w14:textId="77777777" w:rsidR="00351624" w:rsidRDefault="00000000">
      <w:pPr>
        <w:jc w:val="both"/>
        <w:rPr>
          <w:b/>
          <w:color w:val="74758C"/>
        </w:rPr>
      </w:pPr>
      <w:r>
        <w:rPr>
          <w:b/>
          <w:color w:val="74758C"/>
        </w:rPr>
        <w:t>Esferas de influência</w:t>
      </w:r>
    </w:p>
    <w:p w14:paraId="3C2FBA8E" w14:textId="77777777" w:rsidR="00351624" w:rsidRDefault="00351624">
      <w:pPr>
        <w:jc w:val="both"/>
        <w:rPr>
          <w:color w:val="74758C"/>
        </w:rPr>
      </w:pPr>
    </w:p>
    <w:p w14:paraId="0E14BC45" w14:textId="77777777" w:rsidR="00351624" w:rsidRDefault="00000000">
      <w:pPr>
        <w:jc w:val="both"/>
        <w:rPr>
          <w:color w:val="74758C"/>
        </w:rPr>
      </w:pPr>
      <w:r>
        <w:rPr>
          <w:color w:val="74758C"/>
        </w:rPr>
        <w:t>Os viajantes seguem em primeiro lugar as recomendações de amigos e familiares sobre o local onde ir de férias</w:t>
      </w:r>
      <w:r>
        <w:rPr>
          <w:sz w:val="20"/>
          <w:szCs w:val="20"/>
        </w:rPr>
        <w:t xml:space="preserve">, </w:t>
      </w:r>
      <w:r>
        <w:rPr>
          <w:color w:val="74758C"/>
        </w:rPr>
        <w:t xml:space="preserve">com 35% a dizerem que as suas recomendações influenciam os seus planos de férias, seguidos de 29% que são influenciados por comentários online em sites como o TripAdvisor ou sites de hotéis.  </w:t>
      </w:r>
    </w:p>
    <w:p w14:paraId="4C875F02" w14:textId="77777777" w:rsidR="00351624" w:rsidRDefault="00351624">
      <w:pPr>
        <w:jc w:val="both"/>
        <w:rPr>
          <w:color w:val="74758C"/>
        </w:rPr>
      </w:pPr>
    </w:p>
    <w:p w14:paraId="0054B58F" w14:textId="77777777" w:rsidR="00351624" w:rsidRDefault="00000000">
      <w:pPr>
        <w:jc w:val="both"/>
        <w:rPr>
          <w:color w:val="74758C"/>
        </w:rPr>
      </w:pPr>
      <w:r>
        <w:rPr>
          <w:color w:val="74758C"/>
        </w:rPr>
        <w:t>A fidelização também conta. Os operadores e marcas de confiança são vitais para as escolhas das pessoas, com 17% a citá-los como um fator importante. Ser membro do programa de fidelização de um determinado fornecedor de alojamento ou operador turístico é também crucial para 6% dos inquiridos.</w:t>
      </w:r>
    </w:p>
    <w:p w14:paraId="4CC5DCA8" w14:textId="77777777" w:rsidR="00351624" w:rsidRDefault="00351624">
      <w:pPr>
        <w:jc w:val="both"/>
        <w:rPr>
          <w:color w:val="74758C"/>
        </w:rPr>
      </w:pPr>
    </w:p>
    <w:p w14:paraId="5DAEEB3A" w14:textId="77777777" w:rsidR="00351624" w:rsidRDefault="00000000">
      <w:pPr>
        <w:jc w:val="both"/>
        <w:rPr>
          <w:color w:val="74758C"/>
        </w:rPr>
      </w:pPr>
      <w:r>
        <w:rPr>
          <w:color w:val="74758C"/>
        </w:rPr>
        <w:t xml:space="preserve">Um em cada seis (16%) é influenciado por destinos que viram em programas de televisão ou filmes. O "set-jetting", a tendência para férias em locais de filmagens de programas de televisão ou filmes, foi popularizado com o afluxo de visitantes a paisagens tornadas famosas por séries como </w:t>
      </w:r>
      <w:r>
        <w:rPr>
          <w:i/>
          <w:color w:val="74758C"/>
        </w:rPr>
        <w:t xml:space="preserve">The White Lotus </w:t>
      </w:r>
      <w:r>
        <w:rPr>
          <w:color w:val="74758C"/>
        </w:rPr>
        <w:t xml:space="preserve">e </w:t>
      </w:r>
      <w:r>
        <w:rPr>
          <w:i/>
          <w:color w:val="74758C"/>
        </w:rPr>
        <w:t>Game of Thrones</w:t>
      </w:r>
      <w:r>
        <w:rPr>
          <w:color w:val="74758C"/>
        </w:rPr>
        <w:t xml:space="preserve">. Algumas empresas de viagens criaram mesmo itinerários e experiências inspirados na televisão para captar o interesse. </w:t>
      </w:r>
    </w:p>
    <w:p w14:paraId="1A830243" w14:textId="77777777" w:rsidR="00351624" w:rsidRDefault="00351624">
      <w:pPr>
        <w:rPr>
          <w:color w:val="74758C"/>
        </w:rPr>
      </w:pPr>
    </w:p>
    <w:p w14:paraId="2EFA9749" w14:textId="77777777" w:rsidR="00351624" w:rsidRDefault="00000000">
      <w:pPr>
        <w:rPr>
          <w:color w:val="74758C"/>
        </w:rPr>
      </w:pPr>
      <w:r>
        <w:rPr>
          <w:color w:val="74758C"/>
        </w:rPr>
        <w:t>Cerca de 12% dos inquiridos são influenciados por destinos que viram nas redes sociais, o mesmo número de inquiridos que são influenciados por conselhos de um agente de viagens.</w:t>
      </w:r>
    </w:p>
    <w:p w14:paraId="5E8AA847" w14:textId="77777777" w:rsidR="00351624" w:rsidRDefault="00351624">
      <w:pPr>
        <w:jc w:val="both"/>
        <w:rPr>
          <w:color w:val="74758C"/>
        </w:rPr>
      </w:pPr>
    </w:p>
    <w:p w14:paraId="0866A70E" w14:textId="77777777" w:rsidR="00351624" w:rsidRDefault="00351624">
      <w:pPr>
        <w:jc w:val="both"/>
        <w:rPr>
          <w:b/>
          <w:color w:val="74758C"/>
        </w:rPr>
      </w:pPr>
      <w:bookmarkStart w:id="0" w:name="_heading=h.gjdgxs" w:colFirst="0" w:colLast="0"/>
      <w:bookmarkEnd w:id="0"/>
    </w:p>
    <w:p w14:paraId="65236FD8" w14:textId="77777777" w:rsidR="00351624" w:rsidRDefault="00351624">
      <w:pPr>
        <w:jc w:val="both"/>
        <w:rPr>
          <w:b/>
          <w:color w:val="74758C"/>
        </w:rPr>
      </w:pPr>
    </w:p>
    <w:p w14:paraId="1B868E4F" w14:textId="77777777" w:rsidR="00351624" w:rsidRDefault="00351624">
      <w:pPr>
        <w:jc w:val="both"/>
        <w:rPr>
          <w:b/>
          <w:color w:val="74758C"/>
        </w:rPr>
      </w:pPr>
    </w:p>
    <w:p w14:paraId="140E2233" w14:textId="77777777" w:rsidR="00351624" w:rsidRDefault="00351624">
      <w:pPr>
        <w:jc w:val="both"/>
        <w:rPr>
          <w:b/>
          <w:color w:val="74758C"/>
        </w:rPr>
      </w:pPr>
    </w:p>
    <w:p w14:paraId="7D42CC86" w14:textId="77777777" w:rsidR="00351624" w:rsidRDefault="00000000">
      <w:pPr>
        <w:jc w:val="both"/>
        <w:rPr>
          <w:b/>
          <w:color w:val="74758C"/>
        </w:rPr>
      </w:pPr>
      <w:r>
        <w:rPr>
          <w:b/>
          <w:color w:val="74758C"/>
        </w:rPr>
        <w:t>Paraíso dos hotéis</w:t>
      </w:r>
    </w:p>
    <w:p w14:paraId="06AD3442" w14:textId="77777777" w:rsidR="00351624" w:rsidRDefault="00351624">
      <w:pPr>
        <w:jc w:val="both"/>
        <w:rPr>
          <w:color w:val="74758C"/>
        </w:rPr>
      </w:pPr>
    </w:p>
    <w:p w14:paraId="3DBA79F4" w14:textId="77777777" w:rsidR="00351624" w:rsidRDefault="00000000">
      <w:pPr>
        <w:jc w:val="both"/>
        <w:rPr>
          <w:color w:val="74758C"/>
        </w:rPr>
      </w:pPr>
      <w:r>
        <w:rPr>
          <w:color w:val="74758C"/>
        </w:rPr>
        <w:t>Os hotéis dominam como o tipo de alojamento de férias mais popular entre os viajantes europeus, com dois terços (65%) a planearem fazer check-in em 2024. Quando se trata de escolher um hotel, o custo e a localização são, compreensivelmente, os fatores mais importantes. No entanto, os viajantes também são atraídos por hotéis que oferecem um excelente serviço presencial, com 21% a citarem-no como um fator-chave na reserva de uma estadia. Outros fatores de reserva incluem boa comida e bebida (37%), bom ambiente (17%) e o envolvimento com o destino local (11%).</w:t>
      </w:r>
    </w:p>
    <w:p w14:paraId="35E56566" w14:textId="77777777" w:rsidR="00351624" w:rsidRDefault="00351624">
      <w:pPr>
        <w:jc w:val="both"/>
        <w:rPr>
          <w:color w:val="74758C"/>
        </w:rPr>
      </w:pPr>
    </w:p>
    <w:p w14:paraId="3C6FD924" w14:textId="77777777" w:rsidR="00351624" w:rsidRDefault="00000000">
      <w:pPr>
        <w:jc w:val="both"/>
        <w:rPr>
          <w:color w:val="74758C"/>
        </w:rPr>
      </w:pPr>
      <w:r>
        <w:rPr>
          <w:color w:val="74758C"/>
        </w:rPr>
        <w:t>Outras informações e tendências reveladas no relatório incluem:</w:t>
      </w:r>
    </w:p>
    <w:p w14:paraId="29EA00D0" w14:textId="77777777" w:rsidR="00351624" w:rsidRDefault="00000000">
      <w:pPr>
        <w:numPr>
          <w:ilvl w:val="0"/>
          <w:numId w:val="1"/>
        </w:numPr>
        <w:pBdr>
          <w:top w:val="nil"/>
          <w:left w:val="nil"/>
          <w:bottom w:val="nil"/>
          <w:right w:val="nil"/>
          <w:between w:val="nil"/>
        </w:pBdr>
        <w:jc w:val="both"/>
        <w:rPr>
          <w:color w:val="74758C"/>
        </w:rPr>
      </w:pPr>
      <w:r>
        <w:rPr>
          <w:b/>
          <w:color w:val="74758C"/>
        </w:rPr>
        <w:t xml:space="preserve">Viajantes a solo: </w:t>
      </w:r>
      <w:r>
        <w:rPr>
          <w:color w:val="74758C"/>
        </w:rPr>
        <w:t>17% dos viajantes europeus farão uma viagem a solo em 2024.</w:t>
      </w:r>
    </w:p>
    <w:p w14:paraId="112DF106" w14:textId="77777777" w:rsidR="00351624" w:rsidRDefault="00000000">
      <w:pPr>
        <w:numPr>
          <w:ilvl w:val="0"/>
          <w:numId w:val="1"/>
        </w:numPr>
        <w:pBdr>
          <w:top w:val="nil"/>
          <w:left w:val="nil"/>
          <w:bottom w:val="nil"/>
          <w:right w:val="nil"/>
          <w:between w:val="nil"/>
        </w:pBdr>
        <w:jc w:val="both"/>
        <w:rPr>
          <w:color w:val="74758C"/>
        </w:rPr>
      </w:pPr>
      <w:r>
        <w:rPr>
          <w:b/>
          <w:color w:val="74758C"/>
        </w:rPr>
        <w:t xml:space="preserve">Animais de estimação: </w:t>
      </w:r>
      <w:r>
        <w:rPr>
          <w:color w:val="74758C"/>
        </w:rPr>
        <w:t>9% dos turistas tencionam levar consigo os seus animais de estimação.</w:t>
      </w:r>
    </w:p>
    <w:p w14:paraId="2A843545" w14:textId="77777777" w:rsidR="00351624" w:rsidRDefault="00000000">
      <w:pPr>
        <w:numPr>
          <w:ilvl w:val="0"/>
          <w:numId w:val="1"/>
        </w:numPr>
        <w:pBdr>
          <w:top w:val="nil"/>
          <w:left w:val="nil"/>
          <w:bottom w:val="nil"/>
          <w:right w:val="nil"/>
          <w:between w:val="nil"/>
        </w:pBdr>
        <w:jc w:val="both"/>
        <w:rPr>
          <w:color w:val="74758C"/>
        </w:rPr>
      </w:pPr>
      <w:r>
        <w:rPr>
          <w:b/>
          <w:color w:val="74758C"/>
        </w:rPr>
        <w:t xml:space="preserve">Uma ligação mais profunda: </w:t>
      </w:r>
      <w:r>
        <w:rPr>
          <w:color w:val="74758C"/>
        </w:rPr>
        <w:t>36% dos inquiridos afirmam que é importante para si estarem imersos nas culturas e comunidades locais que visitam durante as férias e 13% precisam de sentir que estão a contribuir positivamente para o destino.</w:t>
      </w:r>
    </w:p>
    <w:p w14:paraId="2CFC537C" w14:textId="77777777" w:rsidR="00351624" w:rsidRDefault="00000000">
      <w:pPr>
        <w:numPr>
          <w:ilvl w:val="0"/>
          <w:numId w:val="1"/>
        </w:numPr>
        <w:pBdr>
          <w:top w:val="nil"/>
          <w:left w:val="nil"/>
          <w:bottom w:val="nil"/>
          <w:right w:val="nil"/>
          <w:between w:val="nil"/>
        </w:pBdr>
        <w:jc w:val="both"/>
        <w:rPr>
          <w:color w:val="74758C"/>
        </w:rPr>
      </w:pPr>
      <w:r>
        <w:rPr>
          <w:b/>
          <w:color w:val="74758C"/>
        </w:rPr>
        <w:t xml:space="preserve">Recarregar o corpo e a alma: </w:t>
      </w:r>
      <w:r>
        <w:rPr>
          <w:color w:val="74758C"/>
        </w:rPr>
        <w:t>o descanso e a descontração são o aspeto mais importante de umas férias para 44% dos viajantes, e 15% precisam atualmente de uma pausa porque não têm um bom equilíbrio entre a vida profissional e a vida pessoal. 36% dizem que é importante escolher uma viagem que lhes permita cuidar do seu bem-estar físico e mental e deixar o stress para trás.</w:t>
      </w:r>
    </w:p>
    <w:p w14:paraId="671B9775" w14:textId="77777777" w:rsidR="00351624" w:rsidRDefault="00000000">
      <w:pPr>
        <w:numPr>
          <w:ilvl w:val="0"/>
          <w:numId w:val="1"/>
        </w:numPr>
        <w:pBdr>
          <w:top w:val="nil"/>
          <w:left w:val="nil"/>
          <w:bottom w:val="nil"/>
          <w:right w:val="nil"/>
          <w:between w:val="nil"/>
        </w:pBdr>
        <w:jc w:val="both"/>
        <w:rPr>
          <w:color w:val="74758C"/>
        </w:rPr>
      </w:pPr>
      <w:r>
        <w:rPr>
          <w:b/>
          <w:color w:val="74758C"/>
        </w:rPr>
        <w:t xml:space="preserve">Concertos, competições e carnavais: </w:t>
      </w:r>
      <w:r>
        <w:rPr>
          <w:color w:val="74758C"/>
        </w:rPr>
        <w:t>9% dos viajantes farão uma viagem baseada em comida e bebida, como uma degustação de vinhos ou um festival gastronómico; 9% em torno de um evento musical, como um concerto, tal como o efeito Taylor Swift que está a impulsionar a hotelaria em todo o mundo; e 6% farão uma viagem baseada num evento desportivo, com os Jogos Olímpicos de Paris no topo da lista, como a principal atração desportiva do ano.</w:t>
      </w:r>
    </w:p>
    <w:p w14:paraId="288E546C" w14:textId="77777777" w:rsidR="00351624" w:rsidRDefault="00000000">
      <w:pPr>
        <w:numPr>
          <w:ilvl w:val="0"/>
          <w:numId w:val="1"/>
        </w:numPr>
        <w:pBdr>
          <w:top w:val="nil"/>
          <w:left w:val="nil"/>
          <w:bottom w:val="nil"/>
          <w:right w:val="nil"/>
          <w:between w:val="nil"/>
        </w:pBdr>
        <w:jc w:val="both"/>
        <w:rPr>
          <w:color w:val="74758C"/>
        </w:rPr>
      </w:pPr>
      <w:r>
        <w:rPr>
          <w:b/>
          <w:color w:val="74758C"/>
        </w:rPr>
        <w:t>Estradas, caminhos-de-ferro e vias navegáveis:</w:t>
      </w:r>
      <w:r>
        <w:rPr>
          <w:color w:val="74758C"/>
        </w:rPr>
        <w:t xml:space="preserve"> 19% planeiam fazer uma viagem de carro, 9% uma viagem de barco ou um cruzeiro e 3% uma viagem de comboio de luxo este ano.</w:t>
      </w:r>
    </w:p>
    <w:p w14:paraId="774982CE" w14:textId="77777777" w:rsidR="00351624" w:rsidRDefault="00351624">
      <w:pPr>
        <w:jc w:val="both"/>
        <w:rPr>
          <w:color w:val="74758C"/>
        </w:rPr>
      </w:pPr>
    </w:p>
    <w:p w14:paraId="5A2C154A" w14:textId="77777777" w:rsidR="00351624" w:rsidRDefault="00000000">
      <w:pPr>
        <w:jc w:val="both"/>
        <w:rPr>
          <w:i/>
          <w:color w:val="74758C"/>
        </w:rPr>
      </w:pPr>
      <w:r>
        <w:rPr>
          <w:b/>
          <w:color w:val="74758C"/>
        </w:rPr>
        <w:t xml:space="preserve">Patrick Mendes, CEO, Premium, Midscale &amp; Economy, Accor Europa e Norte de África, afirmou: </w:t>
      </w:r>
      <w:r>
        <w:rPr>
          <w:i/>
          <w:color w:val="74758C"/>
        </w:rPr>
        <w:t>"Apesar dos atuais desafios macroeconómicos e geopolíticos, 2024 aparenta vir a ser um ano forte para as viagens europeias, uma vez que os consumidores dão prioridade a estas viagens, em detrimento de outras formas de despesa discricionária. Este relatório reforça vários temas abrangentes, nenhum mais importante do que a crise climática. Os consumidores preocupam-se com a forma como as empresas de viagens estão a abordar as questões de sustentabilidade, e isso irá tornar-se cada vez mais importante para as suas escolhas de viagem ao longo do tempo.</w:t>
      </w:r>
    </w:p>
    <w:p w14:paraId="6839ACD8" w14:textId="77777777" w:rsidR="00351624" w:rsidRDefault="00351624">
      <w:pPr>
        <w:jc w:val="both"/>
        <w:rPr>
          <w:i/>
          <w:color w:val="74758C"/>
        </w:rPr>
      </w:pPr>
    </w:p>
    <w:p w14:paraId="07A8C911" w14:textId="77777777" w:rsidR="00351624" w:rsidRDefault="00000000">
      <w:pPr>
        <w:jc w:val="both"/>
        <w:rPr>
          <w:i/>
          <w:color w:val="74758C"/>
        </w:rPr>
      </w:pPr>
      <w:r>
        <w:rPr>
          <w:i/>
          <w:color w:val="74758C"/>
        </w:rPr>
        <w:t>“But there are several other long-term growth trends. Consumer focus on wellness is here to stay. Bleisure is here to stay. Travel businesses must have a strategy to cater to the evolving needs of travellers in these areas, and many others, if they want to capture demand from these significant audiences and stay ahead of the competition.”</w:t>
      </w:r>
    </w:p>
    <w:p w14:paraId="7136488C" w14:textId="77777777" w:rsidR="00351624" w:rsidRDefault="00351624">
      <w:pPr>
        <w:jc w:val="both"/>
        <w:rPr>
          <w:i/>
          <w:color w:val="74758C"/>
        </w:rPr>
      </w:pPr>
    </w:p>
    <w:p w14:paraId="4A8A059D" w14:textId="77777777" w:rsidR="00351624" w:rsidRDefault="00000000">
      <w:pPr>
        <w:jc w:val="both"/>
        <w:rPr>
          <w:i/>
          <w:color w:val="74758C"/>
        </w:rPr>
      </w:pPr>
      <w:r>
        <w:rPr>
          <w:i/>
          <w:color w:val="74758C"/>
        </w:rPr>
        <w:t>“Mas existem várias outras tendências de crescimento a longo prazo. O foco do consumidor no bem-estar veio para ficar. O Bleisure veio para ficar. As empresas de viagens devem ter uma estratégia para dar resposta às necessidades em evolução dos viajantes nestas áreas, e em muitas outras, se quiserem captar a procura destes públicos significativos e manter-se à frente da concorrência”.</w:t>
      </w:r>
    </w:p>
    <w:p w14:paraId="2C064150" w14:textId="77777777" w:rsidR="00351624" w:rsidRDefault="00000000">
      <w:pPr>
        <w:jc w:val="both"/>
        <w:rPr>
          <w:i/>
          <w:color w:val="74758C"/>
        </w:rPr>
      </w:pPr>
      <w:r>
        <w:rPr>
          <w:rFonts w:ascii="Arial" w:eastAsia="Arial" w:hAnsi="Arial" w:cs="Arial"/>
          <w:i/>
          <w:color w:val="74758C"/>
        </w:rPr>
        <w:t>​</w:t>
      </w:r>
    </w:p>
    <w:p w14:paraId="07045569" w14:textId="77777777" w:rsidR="00351624" w:rsidRDefault="00351624">
      <w:pPr>
        <w:jc w:val="both"/>
        <w:rPr>
          <w:color w:val="74758C"/>
        </w:rPr>
      </w:pPr>
    </w:p>
    <w:p w14:paraId="4C4D4B3A" w14:textId="77777777" w:rsidR="00351624" w:rsidRDefault="00000000">
      <w:pPr>
        <w:jc w:val="both"/>
        <w:rPr>
          <w:b/>
          <w:color w:val="74758C"/>
        </w:rPr>
      </w:pPr>
      <w:bookmarkStart w:id="1" w:name="_heading=h.30j0zll" w:colFirst="0" w:colLast="0"/>
      <w:bookmarkEnd w:id="1"/>
      <w:r>
        <w:rPr>
          <w:b/>
          <w:color w:val="74758C"/>
        </w:rPr>
        <w:t xml:space="preserve">Pode descarregar o relatório completo "Europe on the Move: Insights into Travel Plans in 2024" </w:t>
      </w:r>
      <w:hyperlink r:id="rId8">
        <w:r>
          <w:rPr>
            <w:b/>
            <w:color w:val="000000"/>
            <w:u w:val="single"/>
          </w:rPr>
          <w:t>aqui</w:t>
        </w:r>
      </w:hyperlink>
      <w:r>
        <w:rPr>
          <w:b/>
          <w:color w:val="74758C"/>
        </w:rPr>
        <w:t>:</w:t>
      </w:r>
    </w:p>
    <w:p w14:paraId="4C4BBEBF" w14:textId="77777777" w:rsidR="00351624" w:rsidRDefault="00351624">
      <w:pPr>
        <w:jc w:val="both"/>
        <w:rPr>
          <w:b/>
          <w:color w:val="74758C"/>
        </w:rPr>
      </w:pPr>
    </w:p>
    <w:p w14:paraId="10E17497" w14:textId="77777777" w:rsidR="00351624" w:rsidRDefault="00351624">
      <w:pPr>
        <w:jc w:val="both"/>
        <w:rPr>
          <w:b/>
          <w:color w:val="74758C"/>
        </w:rPr>
      </w:pPr>
    </w:p>
    <w:p w14:paraId="3442781C" w14:textId="77777777" w:rsidR="00351624" w:rsidRDefault="00000000">
      <w:pPr>
        <w:jc w:val="center"/>
        <w:rPr>
          <w:color w:val="74758C"/>
        </w:rPr>
      </w:pPr>
      <w:r>
        <w:rPr>
          <w:color w:val="74758C"/>
        </w:rPr>
        <w:t># # #</w:t>
      </w:r>
    </w:p>
    <w:p w14:paraId="750686F0" w14:textId="77777777" w:rsidR="00351624" w:rsidRDefault="00351624">
      <w:pPr>
        <w:rPr>
          <w:color w:val="74758C"/>
        </w:rPr>
      </w:pPr>
    </w:p>
    <w:p w14:paraId="16738AF1" w14:textId="77777777" w:rsidR="00351624" w:rsidRDefault="00351624">
      <w:pPr>
        <w:jc w:val="center"/>
        <w:rPr>
          <w:color w:val="74758C"/>
        </w:rPr>
      </w:pPr>
    </w:p>
    <w:p w14:paraId="69A60CA6" w14:textId="77777777" w:rsidR="00351624" w:rsidRDefault="00351624">
      <w:pPr>
        <w:jc w:val="center"/>
        <w:rPr>
          <w:color w:val="74758C"/>
        </w:rPr>
      </w:pPr>
    </w:p>
    <w:p w14:paraId="224038FD" w14:textId="77777777" w:rsidR="00351624" w:rsidRDefault="00351624">
      <w:pPr>
        <w:jc w:val="center"/>
        <w:rPr>
          <w:color w:val="74758C"/>
        </w:rPr>
      </w:pPr>
    </w:p>
    <w:p w14:paraId="14D6FEFB" w14:textId="77777777" w:rsidR="00351624" w:rsidRDefault="00000000">
      <w:pPr>
        <w:pStyle w:val="Ttulo2"/>
        <w:rPr>
          <w:color w:val="000000"/>
        </w:rPr>
      </w:pPr>
      <w:r>
        <w:rPr>
          <w:color w:val="000000"/>
        </w:rPr>
        <w:t>SOBRE A ACCOR</w:t>
      </w:r>
    </w:p>
    <w:p w14:paraId="17009816" w14:textId="77777777" w:rsidR="00351624" w:rsidRDefault="00000000">
      <w:pPr>
        <w:jc w:val="both"/>
        <w:rPr>
          <w:color w:val="74758C"/>
          <w:sz w:val="18"/>
          <w:szCs w:val="18"/>
        </w:rPr>
      </w:pPr>
      <w:hyperlink r:id="rId9">
        <w:r>
          <w:rPr>
            <w:color w:val="0000FF"/>
            <w:sz w:val="18"/>
            <w:szCs w:val="18"/>
            <w:u w:val="single"/>
          </w:rPr>
          <w:t>A Accor</w:t>
        </w:r>
      </w:hyperlink>
      <w:r>
        <w:rPr>
          <w:color w:val="74758C"/>
          <w:sz w:val="18"/>
          <w:szCs w:val="18"/>
        </w:rPr>
        <w:t xml:space="preserve"> é um grupo hoteleiro líder mundial que oferece experiências em mais de 110 países em 5.600 estabelecimentos, 10.000 locais de restauração e bebidas, instalações de bem-estar ou espaços de trabalho flexíveis. O Grupo possui um dos ecossistemas hoteleiros mais diversificados do sector, englobando mais de 45 marcas de hotéis, desde o luxo ao económico, bem como o Lifestyle com a Ennismore. A Accor está empenhada em tomar medidas positivas em termos de ética e integridade empresarial, turismo responsável, desenvolvimento sustentável, alcance comunitário e diversidade e inclusão.  Fundada em 1967, a Accor SA está sediada em França e está cotada na Euronext Paris (código ISIN: FR0000120404) e no mercado OTC (Ticker: ACCYY) nos Estados Unidos. Para mais informações, visite </w:t>
      </w:r>
      <w:hyperlink r:id="rId10">
        <w:r>
          <w:rPr>
            <w:color w:val="0000FF"/>
            <w:sz w:val="18"/>
            <w:szCs w:val="18"/>
            <w:u w:val="single"/>
          </w:rPr>
          <w:t>www.group.accor.com</w:t>
        </w:r>
      </w:hyperlink>
      <w:r>
        <w:rPr>
          <w:color w:val="74758C"/>
          <w:sz w:val="18"/>
          <w:szCs w:val="18"/>
        </w:rPr>
        <w:t xml:space="preserve"> ou siga-nos no </w:t>
      </w:r>
      <w:hyperlink r:id="rId11">
        <w:r>
          <w:rPr>
            <w:color w:val="0000FF"/>
            <w:sz w:val="18"/>
            <w:szCs w:val="18"/>
            <w:u w:val="single"/>
          </w:rPr>
          <w:t>X</w:t>
        </w:r>
      </w:hyperlink>
      <w:r>
        <w:rPr>
          <w:color w:val="74758C"/>
          <w:sz w:val="18"/>
          <w:szCs w:val="18"/>
        </w:rPr>
        <w:t xml:space="preserve">, </w:t>
      </w:r>
      <w:hyperlink r:id="rId12">
        <w:r>
          <w:rPr>
            <w:color w:val="0000FF"/>
            <w:sz w:val="18"/>
            <w:szCs w:val="18"/>
            <w:u w:val="single"/>
          </w:rPr>
          <w:t>Facebook</w:t>
        </w:r>
      </w:hyperlink>
      <w:r>
        <w:rPr>
          <w:color w:val="74758C"/>
          <w:sz w:val="18"/>
          <w:szCs w:val="18"/>
        </w:rPr>
        <w:t xml:space="preserve">, </w:t>
      </w:r>
      <w:hyperlink r:id="rId13">
        <w:r>
          <w:rPr>
            <w:color w:val="0000FF"/>
            <w:sz w:val="18"/>
            <w:szCs w:val="18"/>
            <w:u w:val="single"/>
          </w:rPr>
          <w:t xml:space="preserve">LinkedIn, </w:t>
        </w:r>
      </w:hyperlink>
      <w:hyperlink r:id="rId14">
        <w:r>
          <w:rPr>
            <w:color w:val="0000FF"/>
            <w:sz w:val="18"/>
            <w:szCs w:val="18"/>
            <w:u w:val="single"/>
          </w:rPr>
          <w:t>Instagram</w:t>
        </w:r>
      </w:hyperlink>
      <w:r>
        <w:rPr>
          <w:color w:val="74758C"/>
          <w:sz w:val="18"/>
          <w:szCs w:val="18"/>
        </w:rPr>
        <w:t xml:space="preserve"> e </w:t>
      </w:r>
      <w:hyperlink r:id="rId15">
        <w:r>
          <w:rPr>
            <w:color w:val="0000FF"/>
            <w:sz w:val="18"/>
            <w:szCs w:val="18"/>
            <w:u w:val="single"/>
          </w:rPr>
          <w:t>TikTok</w:t>
        </w:r>
      </w:hyperlink>
      <w:r>
        <w:rPr>
          <w:color w:val="74758C"/>
          <w:sz w:val="18"/>
          <w:szCs w:val="18"/>
        </w:rPr>
        <w:t xml:space="preserve">. </w:t>
      </w:r>
    </w:p>
    <w:p w14:paraId="0CD7409D" w14:textId="77777777" w:rsidR="00351624" w:rsidRDefault="00351624">
      <w:pPr>
        <w:widowControl w:val="0"/>
        <w:jc w:val="both"/>
        <w:rPr>
          <w:color w:val="74758B"/>
        </w:rPr>
      </w:pPr>
    </w:p>
    <w:p w14:paraId="38D6787D" w14:textId="77777777" w:rsidR="00351624" w:rsidRDefault="00000000">
      <w:pPr>
        <w:rPr>
          <w:b/>
          <w:color w:val="74758C"/>
        </w:rPr>
      </w:pPr>
      <w:r>
        <w:rPr>
          <w:b/>
          <w:color w:val="74758C"/>
        </w:rPr>
        <w:t>Notas aos editores</w:t>
      </w:r>
    </w:p>
    <w:p w14:paraId="16D928C2" w14:textId="77777777" w:rsidR="00351624" w:rsidRDefault="00000000">
      <w:pPr>
        <w:jc w:val="both"/>
        <w:rPr>
          <w:color w:val="74758C"/>
        </w:rPr>
      </w:pPr>
      <w:r>
        <w:rPr>
          <w:color w:val="74758C"/>
          <w:vertAlign w:val="superscript"/>
        </w:rPr>
        <w:t>1</w:t>
      </w:r>
      <w:r>
        <w:rPr>
          <w:color w:val="74758C"/>
        </w:rPr>
        <w:t xml:space="preserve"> A Accor encomendou um estudo à One Poll entre 13 e 23 de janeiro de 2024. Foram inquiridos 8000 adultos que planeiam viajar no país ou no estrangeiro em 7 países europeus: Reino Unido, Polónia, Alemanha, Países Baixos, França, Espanha e Itália.</w:t>
      </w:r>
    </w:p>
    <w:p w14:paraId="23FD49AF" w14:textId="77777777" w:rsidR="00351624" w:rsidRDefault="00351624">
      <w:pPr>
        <w:ind w:right="-115"/>
        <w:jc w:val="both"/>
        <w:rPr>
          <w:b/>
          <w:i/>
          <w:color w:val="050033"/>
          <w:u w:val="single"/>
        </w:rPr>
      </w:pPr>
    </w:p>
    <w:p w14:paraId="470082AF" w14:textId="77777777" w:rsidR="00351624" w:rsidRDefault="00351624">
      <w:pPr>
        <w:widowControl w:val="0"/>
        <w:pBdr>
          <w:top w:val="nil"/>
          <w:left w:val="nil"/>
          <w:bottom w:val="nil"/>
          <w:right w:val="nil"/>
          <w:between w:val="nil"/>
        </w:pBdr>
        <w:ind w:right="865"/>
        <w:jc w:val="both"/>
        <w:rPr>
          <w:color w:val="000000"/>
          <w:sz w:val="20"/>
          <w:szCs w:val="20"/>
        </w:rPr>
      </w:pPr>
    </w:p>
    <w:p w14:paraId="79A251AE" w14:textId="77777777" w:rsidR="00351624" w:rsidRDefault="00000000">
      <w:pPr>
        <w:jc w:val="both"/>
        <w:rPr>
          <w:rFonts w:ascii="Times New Roman" w:eastAsia="Times New Roman" w:hAnsi="Times New Roman" w:cs="Times New Roman"/>
          <w:b/>
          <w:i/>
          <w:color w:val="050033"/>
          <w:sz w:val="26"/>
          <w:szCs w:val="26"/>
          <w:u w:val="single"/>
        </w:rPr>
      </w:pPr>
      <w:r>
        <w:rPr>
          <w:rFonts w:ascii="Times New Roman" w:eastAsia="Times New Roman" w:hAnsi="Times New Roman" w:cs="Times New Roman"/>
          <w:b/>
          <w:i/>
          <w:color w:val="050033"/>
          <w:sz w:val="26"/>
          <w:szCs w:val="26"/>
          <w:u w:val="single"/>
        </w:rPr>
        <w:t>Contactos de prensa</w:t>
      </w:r>
    </w:p>
    <w:p w14:paraId="632485CE" w14:textId="77777777" w:rsidR="00351624" w:rsidRDefault="00351624">
      <w:pPr>
        <w:widowControl w:val="0"/>
        <w:spacing w:before="2"/>
        <w:ind w:right="20"/>
        <w:jc w:val="both"/>
        <w:rPr>
          <w:b/>
          <w:color w:val="050033"/>
        </w:rPr>
      </w:pPr>
    </w:p>
    <w:p w14:paraId="0B2E2AF2" w14:textId="77777777" w:rsidR="00351624" w:rsidRDefault="00000000">
      <w:pPr>
        <w:spacing w:after="20" w:line="200" w:lineRule="auto"/>
        <w:rPr>
          <w:rFonts w:ascii="Montserrat" w:eastAsia="Montserrat" w:hAnsi="Montserrat" w:cs="Montserrat"/>
          <w:b/>
          <w:color w:val="A5A5A5"/>
        </w:rPr>
      </w:pPr>
      <w:r>
        <w:rPr>
          <w:rFonts w:ascii="Montserrat" w:eastAsia="Montserrat" w:hAnsi="Montserrat" w:cs="Montserrat"/>
          <w:b/>
          <w:color w:val="A5A5A5"/>
        </w:rPr>
        <w:t xml:space="preserve">Laura Diaz Le Loup    </w:t>
      </w:r>
    </w:p>
    <w:p w14:paraId="05324A1A" w14:textId="77777777" w:rsidR="00351624" w:rsidRDefault="00000000">
      <w:pPr>
        <w:rPr>
          <w:rFonts w:ascii="Montserrat" w:eastAsia="Montserrat" w:hAnsi="Montserrat" w:cs="Montserrat"/>
          <w:color w:val="A5A5A5"/>
        </w:rPr>
      </w:pPr>
      <w:r>
        <w:rPr>
          <w:rFonts w:ascii="Montserrat" w:eastAsia="Montserrat" w:hAnsi="Montserrat" w:cs="Montserrat"/>
          <w:color w:val="A5A5A5"/>
        </w:rPr>
        <w:t>Accor</w:t>
      </w:r>
    </w:p>
    <w:p w14:paraId="75518628" w14:textId="77777777" w:rsidR="00351624" w:rsidRDefault="00000000">
      <w:pPr>
        <w:rPr>
          <w:rFonts w:ascii="Montserrat" w:eastAsia="Montserrat" w:hAnsi="Montserrat" w:cs="Montserrat"/>
          <w:color w:val="A5A5A5"/>
        </w:rPr>
      </w:pPr>
      <w:hyperlink r:id="rId16">
        <w:r>
          <w:rPr>
            <w:rFonts w:ascii="Montserrat" w:eastAsia="Montserrat" w:hAnsi="Montserrat" w:cs="Montserrat"/>
            <w:color w:val="1155CC"/>
            <w:u w:val="single"/>
          </w:rPr>
          <w:t>laura.diaz@accor.com</w:t>
        </w:r>
      </w:hyperlink>
    </w:p>
    <w:p w14:paraId="5394AE02" w14:textId="77777777" w:rsidR="00351624" w:rsidRDefault="00351624">
      <w:pPr>
        <w:rPr>
          <w:rFonts w:ascii="Montserrat" w:eastAsia="Montserrat" w:hAnsi="Montserrat" w:cs="Montserrat"/>
          <w:color w:val="A5A5A5"/>
        </w:rPr>
      </w:pPr>
    </w:p>
    <w:p w14:paraId="09E457C6" w14:textId="77777777" w:rsidR="00351624" w:rsidRDefault="00000000">
      <w:pPr>
        <w:rPr>
          <w:rFonts w:ascii="Montserrat" w:eastAsia="Montserrat" w:hAnsi="Montserrat" w:cs="Montserrat"/>
          <w:b/>
          <w:color w:val="A5A5A5"/>
        </w:rPr>
      </w:pPr>
      <w:r>
        <w:rPr>
          <w:rFonts w:ascii="Montserrat" w:eastAsia="Montserrat" w:hAnsi="Montserrat" w:cs="Montserrat"/>
          <w:b/>
          <w:color w:val="A5A5A5"/>
        </w:rPr>
        <w:t>Sergat</w:t>
      </w:r>
    </w:p>
    <w:p w14:paraId="180800A1" w14:textId="77777777" w:rsidR="00351624" w:rsidRDefault="00000000">
      <w:pPr>
        <w:widowControl w:val="0"/>
        <w:spacing w:before="2"/>
        <w:ind w:right="20"/>
        <w:jc w:val="both"/>
      </w:pPr>
      <w:hyperlink r:id="rId17">
        <w:r>
          <w:rPr>
            <w:rFonts w:ascii="Montserrat" w:eastAsia="Montserrat" w:hAnsi="Montserrat" w:cs="Montserrat"/>
            <w:color w:val="1155CC"/>
            <w:sz w:val="18"/>
            <w:szCs w:val="18"/>
            <w:u w:val="single"/>
          </w:rPr>
          <w:t>prensa@sergat.com</w:t>
        </w:r>
      </w:hyperlink>
    </w:p>
    <w:p w14:paraId="060CCEB9" w14:textId="77777777" w:rsidR="00351624" w:rsidRDefault="00351624">
      <w:pPr>
        <w:widowControl w:val="0"/>
        <w:spacing w:before="2"/>
        <w:ind w:right="20"/>
        <w:jc w:val="both"/>
      </w:pPr>
    </w:p>
    <w:p w14:paraId="34634575" w14:textId="77777777" w:rsidR="00351624" w:rsidRDefault="00351624">
      <w:pPr>
        <w:ind w:right="865"/>
        <w:jc w:val="both"/>
        <w:rPr>
          <w:color w:val="050033"/>
          <w:sz w:val="18"/>
          <w:szCs w:val="18"/>
        </w:rPr>
      </w:pPr>
    </w:p>
    <w:sectPr w:rsidR="00351624">
      <w:headerReference w:type="default" r:id="rId18"/>
      <w:footerReference w:type="default" r:id="rId19"/>
      <w:headerReference w:type="first" r:id="rId20"/>
      <w:footerReference w:type="first" r:id="rId21"/>
      <w:pgSz w:w="11906" w:h="16838"/>
      <w:pgMar w:top="2014" w:right="1656" w:bottom="709" w:left="1656" w:header="29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C936C" w14:textId="77777777" w:rsidR="00E017D0" w:rsidRDefault="00E017D0">
      <w:r>
        <w:separator/>
      </w:r>
    </w:p>
  </w:endnote>
  <w:endnote w:type="continuationSeparator" w:id="0">
    <w:p w14:paraId="65F3E8B5" w14:textId="77777777" w:rsidR="00E017D0" w:rsidRDefault="00E01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ED9A" w14:textId="77777777" w:rsidR="00351624" w:rsidRDefault="00351624">
    <w:pPr>
      <w:pBdr>
        <w:top w:val="nil"/>
        <w:left w:val="nil"/>
        <w:bottom w:val="nil"/>
        <w:right w:val="nil"/>
        <w:between w:val="nil"/>
      </w:pBdr>
      <w:rPr>
        <w:color w:val="000000"/>
      </w:rPr>
    </w:pPr>
  </w:p>
  <w:p w14:paraId="6EA80EE0" w14:textId="77777777" w:rsidR="00351624" w:rsidRDefault="00351624">
    <w:pPr>
      <w:pBdr>
        <w:top w:val="nil"/>
        <w:left w:val="nil"/>
        <w:bottom w:val="nil"/>
        <w:right w:val="nil"/>
        <w:between w:val="nil"/>
      </w:pBdr>
      <w:rPr>
        <w:color w:val="000000"/>
      </w:rPr>
    </w:pPr>
  </w:p>
  <w:p w14:paraId="404F90CD" w14:textId="77777777" w:rsidR="00351624" w:rsidRDefault="00351624">
    <w:pPr>
      <w:pBdr>
        <w:top w:val="nil"/>
        <w:left w:val="nil"/>
        <w:bottom w:val="nil"/>
        <w:right w:val="nil"/>
        <w:between w:val="nil"/>
      </w:pBdr>
      <w:rPr>
        <w:color w:val="000000"/>
      </w:rPr>
    </w:pPr>
  </w:p>
  <w:p w14:paraId="4772D1D4" w14:textId="77777777" w:rsidR="00351624" w:rsidRDefault="00351624">
    <w:pPr>
      <w:pBdr>
        <w:top w:val="nil"/>
        <w:left w:val="nil"/>
        <w:bottom w:val="nil"/>
        <w:right w:val="nil"/>
        <w:between w:val="nil"/>
      </w:pBdr>
      <w:rPr>
        <w:color w:val="000000"/>
      </w:rPr>
    </w:pPr>
  </w:p>
  <w:p w14:paraId="1AE88530" w14:textId="77777777" w:rsidR="00351624" w:rsidRDefault="00351624">
    <w:pPr>
      <w:pBdr>
        <w:top w:val="nil"/>
        <w:left w:val="nil"/>
        <w:bottom w:val="nil"/>
        <w:right w:val="nil"/>
        <w:between w:val="nil"/>
      </w:pBdr>
      <w:rPr>
        <w:color w:val="000000"/>
      </w:rPr>
    </w:pPr>
  </w:p>
  <w:p w14:paraId="654A4DBD" w14:textId="77777777" w:rsidR="00351624" w:rsidRDefault="00351624">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4874" w14:textId="77777777" w:rsidR="00351624" w:rsidRDefault="00351624">
    <w:pPr>
      <w:pBdr>
        <w:top w:val="nil"/>
        <w:left w:val="nil"/>
        <w:bottom w:val="nil"/>
        <w:right w:val="nil"/>
        <w:between w:val="nil"/>
      </w:pBdr>
      <w:rPr>
        <w:color w:val="000000"/>
      </w:rPr>
    </w:pPr>
  </w:p>
  <w:p w14:paraId="1D5E4EB4" w14:textId="77777777" w:rsidR="00351624" w:rsidRDefault="00351624">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B8D9F" w14:textId="77777777" w:rsidR="00E017D0" w:rsidRDefault="00E017D0">
      <w:r>
        <w:separator/>
      </w:r>
    </w:p>
  </w:footnote>
  <w:footnote w:type="continuationSeparator" w:id="0">
    <w:p w14:paraId="435FA988" w14:textId="77777777" w:rsidR="00E017D0" w:rsidRDefault="00E01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9ED7" w14:textId="77777777" w:rsidR="00351624" w:rsidRDefault="00351624">
    <w:pPr>
      <w:pBdr>
        <w:top w:val="nil"/>
        <w:left w:val="nil"/>
        <w:bottom w:val="nil"/>
        <w:right w:val="nil"/>
        <w:between w:val="nil"/>
      </w:pBdr>
      <w:rPr>
        <w:color w:val="000000"/>
      </w:rPr>
    </w:pPr>
  </w:p>
  <w:p w14:paraId="3F4F8462" w14:textId="77777777" w:rsidR="00351624" w:rsidRDefault="00000000">
    <w:pPr>
      <w:pBdr>
        <w:top w:val="nil"/>
        <w:left w:val="nil"/>
        <w:bottom w:val="nil"/>
        <w:right w:val="nil"/>
        <w:between w:val="nil"/>
      </w:pBdr>
      <w:rPr>
        <w:color w:val="000000"/>
      </w:rPr>
    </w:pPr>
    <w:r>
      <w:rPr>
        <w:noProof/>
        <w:color w:val="2B579A"/>
        <w:shd w:val="clear" w:color="auto" w:fill="E6E6E6"/>
      </w:rPr>
      <w:drawing>
        <wp:anchor distT="0" distB="0" distL="0" distR="0" simplePos="0" relativeHeight="251658240" behindDoc="1" locked="0" layoutInCell="1" hidden="0" allowOverlap="1" wp14:anchorId="2A594DEB" wp14:editId="3F0EFED2">
          <wp:simplePos x="0" y="0"/>
          <wp:positionH relativeFrom="page">
            <wp:posOffset>3477070</wp:posOffset>
          </wp:positionH>
          <wp:positionV relativeFrom="page">
            <wp:posOffset>426085</wp:posOffset>
          </wp:positionV>
          <wp:extent cx="617027" cy="540000"/>
          <wp:effectExtent l="0" t="0" r="0" b="0"/>
          <wp:wrapNone/>
          <wp:docPr id="19821232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7027" cy="540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2CD4" w14:textId="77777777" w:rsidR="00351624" w:rsidRDefault="00351624">
    <w:pPr>
      <w:pBdr>
        <w:top w:val="nil"/>
        <w:left w:val="nil"/>
        <w:bottom w:val="nil"/>
        <w:right w:val="nil"/>
        <w:between w:val="nil"/>
      </w:pBdr>
      <w:rPr>
        <w:color w:val="000000"/>
      </w:rPr>
    </w:pPr>
  </w:p>
  <w:p w14:paraId="4B68B9BA" w14:textId="77777777" w:rsidR="00351624" w:rsidRDefault="00351624">
    <w:pPr>
      <w:pBdr>
        <w:top w:val="nil"/>
        <w:left w:val="nil"/>
        <w:bottom w:val="nil"/>
        <w:right w:val="nil"/>
        <w:between w:val="nil"/>
      </w:pBdr>
      <w:rPr>
        <w:color w:val="000000"/>
      </w:rPr>
    </w:pPr>
  </w:p>
  <w:p w14:paraId="0BA9E007" w14:textId="77777777" w:rsidR="00351624" w:rsidRDefault="00000000">
    <w:pPr>
      <w:pBdr>
        <w:top w:val="nil"/>
        <w:left w:val="nil"/>
        <w:bottom w:val="nil"/>
        <w:right w:val="nil"/>
        <w:between w:val="nil"/>
      </w:pBdr>
      <w:rPr>
        <w:color w:val="000000"/>
      </w:rPr>
    </w:pPr>
    <w:r>
      <w:rPr>
        <w:noProof/>
        <w:color w:val="2B579A"/>
        <w:shd w:val="clear" w:color="auto" w:fill="E6E6E6"/>
      </w:rPr>
      <w:drawing>
        <wp:anchor distT="0" distB="0" distL="114300" distR="114300" simplePos="0" relativeHeight="251659264" behindDoc="0" locked="0" layoutInCell="1" hidden="0" allowOverlap="1" wp14:anchorId="3D529EF2" wp14:editId="25A88FE5">
          <wp:simplePos x="0" y="0"/>
          <wp:positionH relativeFrom="margin">
            <wp:posOffset>2205990</wp:posOffset>
          </wp:positionH>
          <wp:positionV relativeFrom="page">
            <wp:posOffset>538480</wp:posOffset>
          </wp:positionV>
          <wp:extent cx="1439545" cy="1259840"/>
          <wp:effectExtent l="0" t="0" r="0" b="0"/>
          <wp:wrapSquare wrapText="bothSides" distT="0" distB="0" distL="114300" distR="114300"/>
          <wp:docPr id="19821232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259840"/>
                  </a:xfrm>
                  <a:prstGeom prst="rect">
                    <a:avLst/>
                  </a:prstGeom>
                  <a:ln/>
                </pic:spPr>
              </pic:pic>
            </a:graphicData>
          </a:graphic>
        </wp:anchor>
      </w:drawing>
    </w:r>
  </w:p>
  <w:p w14:paraId="0F041CA6" w14:textId="77777777" w:rsidR="00351624" w:rsidRDefault="00351624">
    <w:pPr>
      <w:pBdr>
        <w:top w:val="nil"/>
        <w:left w:val="nil"/>
        <w:bottom w:val="nil"/>
        <w:right w:val="nil"/>
        <w:between w:val="nil"/>
      </w:pBdr>
      <w:rPr>
        <w:color w:val="000000"/>
      </w:rPr>
    </w:pPr>
  </w:p>
  <w:p w14:paraId="2BCBD74F" w14:textId="77777777" w:rsidR="00351624" w:rsidRDefault="00351624">
    <w:pPr>
      <w:pBdr>
        <w:top w:val="nil"/>
        <w:left w:val="nil"/>
        <w:bottom w:val="nil"/>
        <w:right w:val="nil"/>
        <w:between w:val="nil"/>
      </w:pBdr>
      <w:rPr>
        <w:color w:val="000000"/>
      </w:rPr>
    </w:pPr>
  </w:p>
  <w:p w14:paraId="460FC4B8" w14:textId="77777777" w:rsidR="00351624" w:rsidRDefault="00351624">
    <w:pPr>
      <w:pBdr>
        <w:top w:val="nil"/>
        <w:left w:val="nil"/>
        <w:bottom w:val="nil"/>
        <w:right w:val="nil"/>
        <w:between w:val="nil"/>
      </w:pBdr>
      <w:rPr>
        <w:color w:val="000000"/>
      </w:rPr>
    </w:pPr>
  </w:p>
  <w:p w14:paraId="65FAAA92" w14:textId="77777777" w:rsidR="00351624" w:rsidRDefault="00351624">
    <w:pPr>
      <w:pBdr>
        <w:top w:val="nil"/>
        <w:left w:val="nil"/>
        <w:bottom w:val="nil"/>
        <w:right w:val="nil"/>
        <w:between w:val="nil"/>
      </w:pBdr>
      <w:rPr>
        <w:color w:val="000000"/>
      </w:rPr>
    </w:pPr>
  </w:p>
  <w:p w14:paraId="5C6E9A2C" w14:textId="77777777" w:rsidR="00351624" w:rsidRDefault="00351624">
    <w:pPr>
      <w:pBdr>
        <w:top w:val="nil"/>
        <w:left w:val="nil"/>
        <w:bottom w:val="nil"/>
        <w:right w:val="nil"/>
        <w:between w:val="nil"/>
      </w:pBdr>
      <w:rPr>
        <w:color w:val="000000"/>
      </w:rPr>
    </w:pPr>
  </w:p>
  <w:p w14:paraId="1A1D82D9" w14:textId="77777777" w:rsidR="00351624" w:rsidRDefault="00351624">
    <w:pPr>
      <w:pBdr>
        <w:top w:val="nil"/>
        <w:left w:val="nil"/>
        <w:bottom w:val="nil"/>
        <w:right w:val="nil"/>
        <w:between w:val="nil"/>
      </w:pBdr>
      <w:rPr>
        <w:color w:val="000000"/>
      </w:rPr>
    </w:pPr>
  </w:p>
  <w:p w14:paraId="793171C8" w14:textId="77777777" w:rsidR="00351624" w:rsidRDefault="00351624">
    <w:pPr>
      <w:pBdr>
        <w:top w:val="nil"/>
        <w:left w:val="nil"/>
        <w:bottom w:val="nil"/>
        <w:right w:val="nil"/>
        <w:between w:val="nil"/>
      </w:pBdr>
      <w:rPr>
        <w:color w:val="000000"/>
      </w:rPr>
    </w:pPr>
  </w:p>
  <w:p w14:paraId="78E6F346" w14:textId="77777777" w:rsidR="00351624" w:rsidRDefault="00351624">
    <w:pPr>
      <w:pBdr>
        <w:top w:val="nil"/>
        <w:left w:val="nil"/>
        <w:bottom w:val="nil"/>
        <w:right w:val="nil"/>
        <w:between w:val="nil"/>
      </w:pBdr>
      <w:rPr>
        <w:color w:val="000000"/>
      </w:rPr>
    </w:pPr>
  </w:p>
  <w:p w14:paraId="4F0FBABE" w14:textId="77777777" w:rsidR="00351624" w:rsidRDefault="00351624">
    <w:pPr>
      <w:pBdr>
        <w:top w:val="nil"/>
        <w:left w:val="nil"/>
        <w:bottom w:val="nil"/>
        <w:right w:val="nil"/>
        <w:between w:val="nil"/>
      </w:pBdr>
      <w:rPr>
        <w:color w:val="000000"/>
      </w:rPr>
    </w:pPr>
  </w:p>
  <w:p w14:paraId="297BDDAC" w14:textId="77777777" w:rsidR="00351624" w:rsidRDefault="00351624">
    <w:pPr>
      <w:pBdr>
        <w:top w:val="nil"/>
        <w:left w:val="nil"/>
        <w:bottom w:val="nil"/>
        <w:right w:val="nil"/>
        <w:between w:val="nil"/>
      </w:pBdr>
      <w:rPr>
        <w:color w:val="000000"/>
      </w:rPr>
    </w:pPr>
  </w:p>
  <w:p w14:paraId="0FF3D060" w14:textId="77777777" w:rsidR="00351624" w:rsidRDefault="00351624">
    <w:pPr>
      <w:pBdr>
        <w:top w:val="nil"/>
        <w:left w:val="nil"/>
        <w:bottom w:val="nil"/>
        <w:right w:val="nil"/>
        <w:between w:val="nil"/>
      </w:pBdr>
      <w:spacing w:line="32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A14E8"/>
    <w:multiLevelType w:val="multilevel"/>
    <w:tmpl w:val="7786C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B93303"/>
    <w:multiLevelType w:val="multilevel"/>
    <w:tmpl w:val="4E9E8574"/>
    <w:lvl w:ilvl="0">
      <w:start w:val="1"/>
      <w:numFmt w:val="decimal"/>
      <w:pStyle w:val="Textepuc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22218592">
    <w:abstractNumId w:val="0"/>
  </w:num>
  <w:num w:numId="2" w16cid:durableId="323969433">
    <w:abstractNumId w:val="1"/>
  </w:num>
  <w:num w:numId="3" w16cid:durableId="1841042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624"/>
    <w:rsid w:val="00254A39"/>
    <w:rsid w:val="00351624"/>
    <w:rsid w:val="00E017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AF77EB3"/>
  <w15:docId w15:val="{5CA29C1D-437F-8D4D-914F-E4ECEB0D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9"/>
        <w:szCs w:val="19"/>
        <w:lang w:val="pt-PT"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11D"/>
    <w:rPr>
      <w:lang w:val="en-GB"/>
    </w:rPr>
  </w:style>
  <w:style w:type="paragraph" w:styleId="Ttulo1">
    <w:name w:val="heading 1"/>
    <w:basedOn w:val="Normal"/>
    <w:next w:val="Normal"/>
    <w:link w:val="Ttulo1Car"/>
    <w:uiPriority w:val="9"/>
    <w:qFormat/>
    <w:rsid w:val="006612BF"/>
    <w:pPr>
      <w:spacing w:after="160" w:line="540" w:lineRule="exact"/>
      <w:jc w:val="center"/>
      <w:outlineLvl w:val="0"/>
    </w:pPr>
    <w:rPr>
      <w:rFonts w:asciiTheme="majorHAnsi" w:hAnsiTheme="majorHAnsi" w:cstheme="majorHAnsi"/>
      <w:b/>
      <w:i/>
      <w:color w:val="050033" w:themeColor="accent3"/>
      <w:sz w:val="54"/>
      <w:szCs w:val="54"/>
    </w:rPr>
  </w:style>
  <w:style w:type="paragraph" w:styleId="Ttulo2">
    <w:name w:val="heading 2"/>
    <w:basedOn w:val="Subttulo"/>
    <w:next w:val="Normal"/>
    <w:link w:val="Ttulo2Car"/>
    <w:uiPriority w:val="9"/>
    <w:unhideWhenUsed/>
    <w:qFormat/>
    <w:rsid w:val="009B3A49"/>
    <w:pPr>
      <w:spacing w:after="160"/>
      <w:outlineLvl w:val="1"/>
    </w:pPr>
    <w:rPr>
      <w:sz w:val="15"/>
      <w:szCs w:val="15"/>
      <w:lang w:val="en-US"/>
    </w:rPr>
  </w:style>
  <w:style w:type="paragraph" w:styleId="Ttulo3">
    <w:name w:val="heading 3"/>
    <w:basedOn w:val="Normal"/>
    <w:next w:val="Normal"/>
    <w:link w:val="Ttulo3Car"/>
    <w:uiPriority w:val="9"/>
    <w:semiHidden/>
    <w:unhideWhenUsed/>
    <w:qFormat/>
    <w:rsid w:val="00343629"/>
    <w:pPr>
      <w:keepNext/>
      <w:keepLines/>
      <w:spacing w:line="260" w:lineRule="atLeast"/>
      <w:outlineLvl w:val="2"/>
    </w:pPr>
    <w:rPr>
      <w:rFonts w:asciiTheme="majorHAnsi" w:eastAsiaTheme="majorEastAsia" w:hAnsiTheme="majorHAnsi" w:cstheme="majorBidi"/>
      <w:b/>
      <w:bCs/>
      <w:i/>
      <w:sz w:val="26"/>
      <w:szCs w:val="18"/>
      <w:u w:val="single"/>
    </w:rPr>
  </w:style>
  <w:style w:type="paragraph" w:styleId="Ttulo4">
    <w:name w:val="heading 4"/>
    <w:basedOn w:val="Normal"/>
    <w:next w:val="Normal"/>
    <w:link w:val="Ttulo4Car"/>
    <w:uiPriority w:val="9"/>
    <w:semiHidden/>
    <w:unhideWhenUsed/>
    <w:qFormat/>
    <w:rsid w:val="00FA1E79"/>
    <w:pPr>
      <w:keepNext/>
      <w:keepLines/>
      <w:numPr>
        <w:ilvl w:val="3"/>
        <w:numId w:val="2"/>
      </w:numPr>
      <w:spacing w:before="160" w:after="60" w:line="260" w:lineRule="atLeast"/>
      <w:outlineLvl w:val="3"/>
    </w:pPr>
    <w:rPr>
      <w:rFonts w:asciiTheme="majorHAnsi" w:eastAsiaTheme="majorEastAsia" w:hAnsiTheme="majorHAnsi" w:cstheme="majorBidi"/>
      <w:b/>
      <w:bCs/>
      <w:iCs/>
      <w:sz w:val="18"/>
      <w:szCs w:val="18"/>
    </w:rPr>
  </w:style>
  <w:style w:type="paragraph" w:styleId="Ttulo5">
    <w:name w:val="heading 5"/>
    <w:basedOn w:val="Normal"/>
    <w:next w:val="Normal"/>
    <w:link w:val="Ttulo5Car"/>
    <w:uiPriority w:val="9"/>
    <w:semiHidden/>
    <w:unhideWhenUsed/>
    <w:qFormat/>
    <w:rsid w:val="00FA1E79"/>
    <w:pPr>
      <w:keepNext/>
      <w:keepLines/>
      <w:numPr>
        <w:ilvl w:val="4"/>
        <w:numId w:val="2"/>
      </w:numPr>
      <w:spacing w:before="200" w:line="260" w:lineRule="atLeast"/>
      <w:outlineLvl w:val="4"/>
    </w:pPr>
    <w:rPr>
      <w:rFonts w:asciiTheme="majorHAnsi" w:eastAsiaTheme="majorEastAsia" w:hAnsiTheme="majorHAnsi" w:cstheme="majorBidi"/>
      <w:color w:val="795624" w:themeColor="accent1" w:themeShade="7F"/>
      <w:sz w:val="18"/>
      <w:szCs w:val="18"/>
    </w:rPr>
  </w:style>
  <w:style w:type="paragraph" w:styleId="Ttulo6">
    <w:name w:val="heading 6"/>
    <w:basedOn w:val="Normal"/>
    <w:next w:val="Normal"/>
    <w:link w:val="Ttulo6Car"/>
    <w:uiPriority w:val="9"/>
    <w:semiHidden/>
    <w:unhideWhenUsed/>
    <w:qFormat/>
    <w:rsid w:val="00FA1E79"/>
    <w:pPr>
      <w:keepNext/>
      <w:keepLines/>
      <w:numPr>
        <w:ilvl w:val="5"/>
        <w:numId w:val="2"/>
      </w:numPr>
      <w:spacing w:before="200" w:line="260" w:lineRule="atLeast"/>
      <w:outlineLvl w:val="5"/>
    </w:pPr>
    <w:rPr>
      <w:rFonts w:asciiTheme="majorHAnsi" w:eastAsiaTheme="majorEastAsia" w:hAnsiTheme="majorHAnsi" w:cstheme="majorBidi"/>
      <w:i/>
      <w:iCs/>
      <w:color w:val="795624" w:themeColor="accent1" w:themeShade="7F"/>
      <w:sz w:val="18"/>
      <w:szCs w:val="18"/>
    </w:rPr>
  </w:style>
  <w:style w:type="paragraph" w:styleId="Ttulo7">
    <w:name w:val="heading 7"/>
    <w:basedOn w:val="Normal"/>
    <w:next w:val="Normal"/>
    <w:link w:val="Ttulo7Car"/>
    <w:uiPriority w:val="9"/>
    <w:semiHidden/>
    <w:qFormat/>
    <w:rsid w:val="00FA1E79"/>
    <w:pPr>
      <w:keepNext/>
      <w:keepLines/>
      <w:numPr>
        <w:ilvl w:val="6"/>
        <w:numId w:val="2"/>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tulo8">
    <w:name w:val="heading 8"/>
    <w:basedOn w:val="Normal"/>
    <w:next w:val="Normal"/>
    <w:link w:val="Ttulo8Car"/>
    <w:uiPriority w:val="9"/>
    <w:semiHidden/>
    <w:qFormat/>
    <w:rsid w:val="00FA1E79"/>
    <w:pPr>
      <w:keepNext/>
      <w:keepLines/>
      <w:numPr>
        <w:ilvl w:val="7"/>
        <w:numId w:val="2"/>
      </w:numPr>
      <w:spacing w:before="200" w:line="260" w:lineRule="atLeast"/>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qFormat/>
    <w:rsid w:val="00FA1E79"/>
    <w:pPr>
      <w:keepNext/>
      <w:keepLines/>
      <w:numPr>
        <w:ilvl w:val="8"/>
        <w:numId w:val="2"/>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link w:val="EncabezadoCar"/>
    <w:uiPriority w:val="99"/>
    <w:unhideWhenUsed/>
    <w:rsid w:val="002019AB"/>
    <w:pPr>
      <w:spacing w:line="240" w:lineRule="exact"/>
    </w:pPr>
  </w:style>
  <w:style w:type="character" w:customStyle="1" w:styleId="EncabezadoCar">
    <w:name w:val="Encabezado Car"/>
    <w:basedOn w:val="Fuentedeprrafopredeter"/>
    <w:link w:val="Encabezado"/>
    <w:uiPriority w:val="99"/>
    <w:rsid w:val="002019AB"/>
    <w:rPr>
      <w:sz w:val="20"/>
    </w:rPr>
  </w:style>
  <w:style w:type="paragraph" w:styleId="Piedepgina">
    <w:name w:val="footer"/>
    <w:link w:val="PiedepginaCar"/>
    <w:uiPriority w:val="99"/>
    <w:unhideWhenUsed/>
    <w:rsid w:val="003C7C34"/>
    <w:pPr>
      <w:spacing w:line="240" w:lineRule="exact"/>
    </w:pPr>
  </w:style>
  <w:style w:type="character" w:customStyle="1" w:styleId="PiedepginaCar">
    <w:name w:val="Pie de página Car"/>
    <w:basedOn w:val="Fuentedeprrafopredeter"/>
    <w:link w:val="Piedepgina"/>
    <w:uiPriority w:val="99"/>
    <w:rsid w:val="003C7C34"/>
    <w:rPr>
      <w:sz w:val="20"/>
    </w:rPr>
  </w:style>
  <w:style w:type="paragraph" w:styleId="Textodeglobo">
    <w:name w:val="Balloon Text"/>
    <w:basedOn w:val="Normal"/>
    <w:link w:val="TextodegloboCar"/>
    <w:uiPriority w:val="99"/>
    <w:semiHidden/>
    <w:unhideWhenUsed/>
    <w:rsid w:val="006B108E"/>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08E"/>
    <w:rPr>
      <w:rFonts w:ascii="Tahoma" w:hAnsi="Tahoma" w:cs="Tahoma"/>
      <w:sz w:val="16"/>
      <w:szCs w:val="16"/>
    </w:rPr>
  </w:style>
  <w:style w:type="table" w:styleId="Tablaconcuadrcula">
    <w:name w:val="Table Grid"/>
    <w:basedOn w:val="Tablanormal"/>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uiPriority w:val="34"/>
    <w:semiHidden/>
    <w:rsid w:val="00FA1E79"/>
    <w:pPr>
      <w:ind w:left="720"/>
      <w:contextualSpacing/>
    </w:pPr>
  </w:style>
  <w:style w:type="character" w:customStyle="1" w:styleId="Ttulo1Car">
    <w:name w:val="Título 1 Car"/>
    <w:basedOn w:val="Fuentedeprrafopredeter"/>
    <w:link w:val="Ttulo1"/>
    <w:uiPriority w:val="9"/>
    <w:rsid w:val="006612BF"/>
    <w:rPr>
      <w:rFonts w:asciiTheme="majorHAnsi" w:hAnsiTheme="majorHAnsi" w:cstheme="majorHAnsi"/>
      <w:b/>
      <w:i/>
      <w:color w:val="050033" w:themeColor="accent3"/>
      <w:sz w:val="54"/>
      <w:szCs w:val="54"/>
    </w:rPr>
  </w:style>
  <w:style w:type="character" w:customStyle="1" w:styleId="Ttulo2Car">
    <w:name w:val="Título 2 Car"/>
    <w:basedOn w:val="Fuentedeprrafopredeter"/>
    <w:link w:val="Ttulo2"/>
    <w:uiPriority w:val="9"/>
    <w:rsid w:val="009B3A49"/>
    <w:rPr>
      <w:rFonts w:ascii="Montserrat Medium" w:hAnsi="Montserrat Medium"/>
      <w:caps/>
      <w:color w:val="050033" w:themeColor="accent3"/>
      <w:sz w:val="15"/>
      <w:szCs w:val="15"/>
      <w:lang w:val="en-US"/>
    </w:rPr>
  </w:style>
  <w:style w:type="character" w:customStyle="1" w:styleId="Ttulo3Car">
    <w:name w:val="Título 3 Car"/>
    <w:basedOn w:val="Fuentedeprrafopredeter"/>
    <w:link w:val="Ttulo3"/>
    <w:uiPriority w:val="9"/>
    <w:rsid w:val="00343629"/>
    <w:rPr>
      <w:rFonts w:asciiTheme="majorHAnsi" w:eastAsiaTheme="majorEastAsia" w:hAnsiTheme="majorHAnsi" w:cstheme="majorBidi"/>
      <w:b/>
      <w:bCs/>
      <w:i/>
      <w:sz w:val="26"/>
      <w:szCs w:val="18"/>
      <w:u w:val="single"/>
      <w:lang w:val="en-GB"/>
    </w:rPr>
  </w:style>
  <w:style w:type="character" w:customStyle="1" w:styleId="Ttulo4Car">
    <w:name w:val="Título 4 Car"/>
    <w:basedOn w:val="Fuentedeprrafopredeter"/>
    <w:link w:val="Ttulo4"/>
    <w:uiPriority w:val="9"/>
    <w:semiHidden/>
    <w:rsid w:val="00962526"/>
    <w:rPr>
      <w:rFonts w:asciiTheme="majorHAnsi" w:eastAsiaTheme="majorEastAsia" w:hAnsiTheme="majorHAnsi" w:cstheme="majorBidi"/>
      <w:b/>
      <w:bCs/>
      <w:iCs/>
      <w:sz w:val="18"/>
      <w:szCs w:val="18"/>
    </w:rPr>
  </w:style>
  <w:style w:type="character" w:customStyle="1" w:styleId="Ttulo5Car">
    <w:name w:val="Título 5 Car"/>
    <w:basedOn w:val="Fuentedeprrafopredeter"/>
    <w:link w:val="Ttulo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Ttulo6Car">
    <w:name w:val="Título 6 Car"/>
    <w:basedOn w:val="Fuentedeprrafopredeter"/>
    <w:link w:val="Ttulo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Ttulo7Car">
    <w:name w:val="Título 7 Car"/>
    <w:basedOn w:val="Fuentedeprrafopredeter"/>
    <w:link w:val="Ttulo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tulo8Car">
    <w:name w:val="Título 8 Car"/>
    <w:basedOn w:val="Fuentedeprrafopredeter"/>
    <w:link w:val="Ttulo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Prrafodelista"/>
    <w:rsid w:val="00FA1E79"/>
    <w:pPr>
      <w:numPr>
        <w:numId w:val="3"/>
      </w:numPr>
      <w:spacing w:line="260" w:lineRule="atLeast"/>
      <w:ind w:left="142" w:hanging="142"/>
    </w:pPr>
    <w:rPr>
      <w:sz w:val="18"/>
      <w:szCs w:val="18"/>
    </w:rPr>
  </w:style>
  <w:style w:type="paragraph" w:styleId="Subttulo">
    <w:name w:val="Subtitle"/>
    <w:basedOn w:val="Normal"/>
    <w:next w:val="Normal"/>
    <w:link w:val="SubttuloCar"/>
    <w:uiPriority w:val="11"/>
    <w:qFormat/>
    <w:pPr>
      <w:jc w:val="center"/>
    </w:pPr>
    <w:rPr>
      <w:b/>
      <w:smallCaps/>
      <w:color w:val="050033"/>
    </w:rPr>
  </w:style>
  <w:style w:type="character" w:customStyle="1" w:styleId="SubttuloCar">
    <w:name w:val="Subtítulo Car"/>
    <w:basedOn w:val="Fuentedeprrafopredeter"/>
    <w:link w:val="Subttulo"/>
    <w:uiPriority w:val="11"/>
    <w:rsid w:val="000467B2"/>
    <w:rPr>
      <w:b/>
      <w:caps/>
      <w:color w:val="050033" w:themeColor="accent3"/>
      <w:lang w:val="en-GB"/>
    </w:rPr>
  </w:style>
  <w:style w:type="paragraph" w:customStyle="1" w:styleId="Textedesaisie">
    <w:name w:val="Texte de saisie"/>
    <w:basedOn w:val="Normal"/>
    <w:qFormat/>
    <w:rsid w:val="007C73B3"/>
    <w:pPr>
      <w:jc w:val="both"/>
    </w:pPr>
    <w:rPr>
      <w:color w:val="74758C" w:themeColor="accent2"/>
    </w:rPr>
  </w:style>
  <w:style w:type="paragraph" w:styleId="Fecha">
    <w:name w:val="Date"/>
    <w:basedOn w:val="Normal"/>
    <w:next w:val="Normal"/>
    <w:link w:val="FechaCar"/>
    <w:uiPriority w:val="99"/>
    <w:qFormat/>
    <w:rsid w:val="00D27C72"/>
    <w:pPr>
      <w:framePr w:wrap="around" w:vAnchor="page" w:hAnchor="margin" w:y="2949"/>
      <w:spacing w:line="140" w:lineRule="atLeast"/>
    </w:pPr>
    <w:rPr>
      <w:b/>
      <w:caps/>
      <w:color w:val="050033" w:themeColor="accent3"/>
      <w:sz w:val="10"/>
      <w:szCs w:val="10"/>
    </w:rPr>
  </w:style>
  <w:style w:type="character" w:customStyle="1" w:styleId="FechaCar">
    <w:name w:val="Fecha Car"/>
    <w:basedOn w:val="Fuentedeprrafopredeter"/>
    <w:link w:val="Fecha"/>
    <w:uiPriority w:val="99"/>
    <w:rsid w:val="00D27C72"/>
    <w:rPr>
      <w:b/>
      <w:caps/>
      <w:color w:val="050033" w:themeColor="accent3"/>
      <w:sz w:val="10"/>
      <w:szCs w:val="10"/>
      <w:lang w:val="en-GB"/>
    </w:rPr>
  </w:style>
  <w:style w:type="paragraph" w:customStyle="1" w:styleId="Intitul">
    <w:name w:val="Intitulé"/>
    <w:basedOn w:val="Normal"/>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Tablanormal"/>
    <w:uiPriority w:val="99"/>
    <w:rsid w:val="000467B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
    <w:qFormat/>
    <w:rsid w:val="005D211D"/>
    <w:pPr>
      <w:spacing w:after="20" w:line="200" w:lineRule="exact"/>
    </w:pPr>
    <w:rPr>
      <w:rFonts w:cstheme="majorHAnsi"/>
      <w:b/>
      <w:color w:val="050033" w:themeColor="accent3"/>
      <w:sz w:val="18"/>
      <w:szCs w:val="20"/>
      <w:lang w:val="fr-FR"/>
    </w:rPr>
  </w:style>
  <w:style w:type="paragraph" w:customStyle="1" w:styleId="Contactfonction">
    <w:name w:val="Contact fonction"/>
    <w:basedOn w:val="Normal"/>
    <w:rsid w:val="005D211D"/>
    <w:pPr>
      <w:spacing w:line="140" w:lineRule="atLeast"/>
    </w:pPr>
    <w:rPr>
      <w:rFonts w:cstheme="majorHAnsi"/>
      <w:color w:val="050033" w:themeColor="accent3"/>
      <w:sz w:val="18"/>
      <w:szCs w:val="13"/>
      <w:lang w:val="fr-FR"/>
    </w:rPr>
  </w:style>
  <w:style w:type="paragraph" w:customStyle="1" w:styleId="Petittexteencadr">
    <w:name w:val="Petit texte encadré"/>
    <w:basedOn w:val="Normal"/>
    <w:qFormat/>
    <w:rsid w:val="000467B2"/>
    <w:pPr>
      <w:spacing w:line="180" w:lineRule="atLeast"/>
      <w:jc w:val="center"/>
    </w:pPr>
    <w:rPr>
      <w:b/>
      <w:caps/>
      <w:color w:val="D3A86A" w:themeColor="accent1"/>
      <w:sz w:val="11"/>
      <w:szCs w:val="11"/>
    </w:rPr>
  </w:style>
  <w:style w:type="paragraph" w:customStyle="1" w:styleId="TextAbout">
    <w:name w:val="Text About"/>
    <w:basedOn w:val="Textedesaisie"/>
    <w:rsid w:val="00A3354A"/>
    <w:pPr>
      <w:spacing w:after="40" w:line="300" w:lineRule="atLeast"/>
    </w:pPr>
    <w:rPr>
      <w:sz w:val="18"/>
      <w:szCs w:val="18"/>
    </w:rPr>
  </w:style>
  <w:style w:type="paragraph" w:customStyle="1" w:styleId="Visuel">
    <w:name w:val="Visuel"/>
    <w:basedOn w:val="Normal"/>
    <w:rsid w:val="00A3354A"/>
    <w:pPr>
      <w:framePr w:w="9072" w:h="284" w:wrap="notBeside" w:vAnchor="page" w:hAnchor="page" w:xAlign="center" w:yAlign="bottom"/>
    </w:pPr>
    <w:rPr>
      <w:noProof/>
      <w:lang w:eastAsia="fr-FR"/>
    </w:rPr>
  </w:style>
  <w:style w:type="character" w:styleId="Hipervnculo">
    <w:name w:val="Hyperlink"/>
    <w:basedOn w:val="Fuentedeprrafopredeter"/>
    <w:uiPriority w:val="99"/>
    <w:unhideWhenUsed/>
    <w:rsid w:val="007A200B"/>
    <w:rPr>
      <w:color w:val="000000" w:themeColor="hyperlink"/>
      <w:u w:val="single"/>
    </w:rPr>
  </w:style>
  <w:style w:type="character" w:customStyle="1" w:styleId="1">
    <w:name w:val="Неразрешенное упоминание1"/>
    <w:basedOn w:val="Fuentedeprrafopredeter"/>
    <w:uiPriority w:val="99"/>
    <w:semiHidden/>
    <w:unhideWhenUsed/>
    <w:rsid w:val="00EE6427"/>
    <w:rPr>
      <w:color w:val="605E5C"/>
      <w:shd w:val="clear" w:color="auto" w:fill="E1DFDD"/>
    </w:rPr>
  </w:style>
  <w:style w:type="character" w:styleId="Hipervnculovisitado">
    <w:name w:val="FollowedHyperlink"/>
    <w:basedOn w:val="Fuentedeprrafopredeter"/>
    <w:uiPriority w:val="99"/>
    <w:semiHidden/>
    <w:unhideWhenUsed/>
    <w:rsid w:val="000D53E8"/>
    <w:rPr>
      <w:color w:val="000000" w:themeColor="followedHyperlink"/>
      <w:u w:val="single"/>
    </w:rPr>
  </w:style>
  <w:style w:type="character" w:styleId="Refdecomentario">
    <w:name w:val="annotation reference"/>
    <w:basedOn w:val="Fuentedeprrafopredeter"/>
    <w:uiPriority w:val="99"/>
    <w:semiHidden/>
    <w:unhideWhenUsed/>
    <w:rsid w:val="002E79A9"/>
    <w:rPr>
      <w:sz w:val="16"/>
      <w:szCs w:val="16"/>
    </w:rPr>
  </w:style>
  <w:style w:type="paragraph" w:styleId="Textocomentario">
    <w:name w:val="annotation text"/>
    <w:basedOn w:val="Normal"/>
    <w:link w:val="TextocomentarioCar"/>
    <w:uiPriority w:val="99"/>
    <w:unhideWhenUsed/>
    <w:rsid w:val="002E79A9"/>
    <w:rPr>
      <w:sz w:val="20"/>
      <w:szCs w:val="20"/>
    </w:rPr>
  </w:style>
  <w:style w:type="character" w:customStyle="1" w:styleId="TextocomentarioCar">
    <w:name w:val="Texto comentario Car"/>
    <w:basedOn w:val="Fuentedeprrafopredeter"/>
    <w:link w:val="Textocomentario"/>
    <w:uiPriority w:val="99"/>
    <w:rsid w:val="002E79A9"/>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2E79A9"/>
    <w:rPr>
      <w:b/>
      <w:bCs/>
    </w:rPr>
  </w:style>
  <w:style w:type="character" w:customStyle="1" w:styleId="AsuntodelcomentarioCar">
    <w:name w:val="Asunto del comentario Car"/>
    <w:basedOn w:val="TextocomentarioCar"/>
    <w:link w:val="Asuntodelcomentario"/>
    <w:uiPriority w:val="99"/>
    <w:semiHidden/>
    <w:rsid w:val="002E79A9"/>
    <w:rPr>
      <w:b/>
      <w:bCs/>
      <w:sz w:val="20"/>
      <w:szCs w:val="20"/>
      <w:lang w:val="en-GB"/>
    </w:rPr>
  </w:style>
  <w:style w:type="paragraph" w:styleId="Textoindependiente">
    <w:name w:val="Body Text"/>
    <w:basedOn w:val="Normal"/>
    <w:link w:val="TextoindependienteCar"/>
    <w:uiPriority w:val="1"/>
    <w:qFormat/>
    <w:rsid w:val="006260DA"/>
    <w:pPr>
      <w:widowControl w:val="0"/>
      <w:autoSpaceDE w:val="0"/>
      <w:autoSpaceDN w:val="0"/>
    </w:pPr>
    <w:rPr>
      <w:sz w:val="18"/>
      <w:szCs w:val="18"/>
      <w:lang w:val="en-US"/>
    </w:rPr>
  </w:style>
  <w:style w:type="character" w:customStyle="1" w:styleId="TextoindependienteCar">
    <w:name w:val="Texto independiente Car"/>
    <w:basedOn w:val="Fuentedeprrafopredeter"/>
    <w:link w:val="Textoindependiente"/>
    <w:uiPriority w:val="1"/>
    <w:rsid w:val="006260DA"/>
    <w:rPr>
      <w:rFonts w:ascii="Verdana" w:eastAsia="Verdana" w:hAnsi="Verdana" w:cs="Verdana"/>
      <w:sz w:val="18"/>
      <w:szCs w:val="18"/>
      <w:lang w:val="en-US"/>
    </w:rPr>
  </w:style>
  <w:style w:type="character" w:customStyle="1" w:styleId="Nierozpoznanawzmianka1">
    <w:name w:val="Nierozpoznana wzmianka1"/>
    <w:basedOn w:val="Fuentedeprrafopredeter"/>
    <w:uiPriority w:val="99"/>
    <w:semiHidden/>
    <w:unhideWhenUsed/>
    <w:rsid w:val="004A389F"/>
    <w:rPr>
      <w:color w:val="605E5C"/>
      <w:shd w:val="clear" w:color="auto" w:fill="E1DFDD"/>
    </w:rPr>
  </w:style>
  <w:style w:type="character" w:customStyle="1" w:styleId="Nierozpoznanawzmianka2">
    <w:name w:val="Nierozpoznana wzmianka2"/>
    <w:basedOn w:val="Fuentedeprrafopredeter"/>
    <w:uiPriority w:val="99"/>
    <w:semiHidden/>
    <w:unhideWhenUsed/>
    <w:rsid w:val="00E46DBD"/>
    <w:rPr>
      <w:color w:val="605E5C"/>
      <w:shd w:val="clear" w:color="auto" w:fill="E1DFDD"/>
    </w:rPr>
  </w:style>
  <w:style w:type="paragraph" w:customStyle="1" w:styleId="elementor-heading-title">
    <w:name w:val="elementor-heading-title"/>
    <w:basedOn w:val="Normal"/>
    <w:rsid w:val="00D80C3C"/>
    <w:pPr>
      <w:spacing w:before="100" w:beforeAutospacing="1" w:after="100" w:afterAutospacing="1"/>
    </w:pPr>
    <w:rPr>
      <w:rFonts w:ascii="Times New Roman" w:eastAsia="Times New Roman" w:hAnsi="Times New Roman" w:cs="Times New Roman"/>
      <w:sz w:val="24"/>
      <w:szCs w:val="24"/>
      <w:lang w:eastAsia="en-GB"/>
    </w:rPr>
  </w:style>
  <w:style w:type="paragraph" w:styleId="Revisin">
    <w:name w:val="Revision"/>
    <w:hidden/>
    <w:uiPriority w:val="99"/>
    <w:semiHidden/>
    <w:rsid w:val="00F3549A"/>
    <w:rPr>
      <w:lang w:val="en-GB"/>
    </w:rPr>
  </w:style>
  <w:style w:type="paragraph" w:customStyle="1" w:styleId="Default">
    <w:name w:val="Default"/>
    <w:rsid w:val="007F1F88"/>
    <w:pPr>
      <w:autoSpaceDE w:val="0"/>
      <w:autoSpaceDN w:val="0"/>
      <w:adjustRightInd w:val="0"/>
    </w:pPr>
    <w:rPr>
      <w:rFonts w:ascii="Montserrat" w:hAnsi="Montserrat" w:cs="Montserrat"/>
      <w:color w:val="000000"/>
      <w:sz w:val="24"/>
      <w:szCs w:val="24"/>
      <w:lang w:val="pl-PL"/>
    </w:rPr>
  </w:style>
  <w:style w:type="character" w:styleId="Textoennegrita">
    <w:name w:val="Strong"/>
    <w:basedOn w:val="Fuentedeprrafopredeter"/>
    <w:uiPriority w:val="22"/>
    <w:qFormat/>
    <w:rsid w:val="00EC0905"/>
    <w:rPr>
      <w:b/>
      <w:bCs/>
    </w:rPr>
  </w:style>
  <w:style w:type="character" w:customStyle="1" w:styleId="UnresolvedMention1">
    <w:name w:val="Unresolved Mention1"/>
    <w:basedOn w:val="Fuentedeprrafopredeter"/>
    <w:uiPriority w:val="99"/>
    <w:semiHidden/>
    <w:unhideWhenUsed/>
    <w:rsid w:val="00F02815"/>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customStyle="1" w:styleId="paragraph">
    <w:name w:val="paragraph"/>
    <w:basedOn w:val="Normal"/>
    <w:rsid w:val="002C171A"/>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normaltextrun">
    <w:name w:val="normaltextrun"/>
    <w:basedOn w:val="Fuentedeprrafopredeter"/>
    <w:rsid w:val="002C171A"/>
  </w:style>
  <w:style w:type="character" w:customStyle="1" w:styleId="eop">
    <w:name w:val="eop"/>
    <w:basedOn w:val="Fuentedeprrafopredeter"/>
    <w:rsid w:val="002C171A"/>
  </w:style>
  <w:style w:type="character" w:styleId="Mencinsinresolver">
    <w:name w:val="Unresolved Mention"/>
    <w:basedOn w:val="Fuentedeprrafopredeter"/>
    <w:uiPriority w:val="99"/>
    <w:semiHidden/>
    <w:unhideWhenUsed/>
    <w:rsid w:val="000D5123"/>
    <w:rPr>
      <w:color w:val="605E5C"/>
      <w:shd w:val="clear" w:color="auto" w:fill="E1DFDD"/>
    </w:rPr>
  </w:style>
  <w:style w:type="table" w:customStyle="1" w:styleId="10">
    <w:name w:val="1"/>
    <w:basedOn w:val="Tablanormal"/>
    <w:pPr>
      <w:jc w:val="center"/>
    </w:pPr>
    <w:rPr>
      <w:b/>
      <w:color w:val="74758C"/>
      <w:sz w:val="17"/>
      <w:szCs w:val="17"/>
    </w:rPr>
    <w:tblPr>
      <w:tblStyleRowBandSize w:val="1"/>
      <w:tblStyleColBandSize w:val="1"/>
      <w:tblCellMar>
        <w:left w:w="115"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ccoreuropeantrends.com/" TargetMode="External"/><Relationship Id="rId13" Type="http://schemas.openxmlformats.org/officeDocument/2006/relationships/hyperlink" Target="https://www.linkedin.com/company/acco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acebook.com/Accor/" TargetMode="External"/><Relationship Id="rId17" Type="http://schemas.openxmlformats.org/officeDocument/2006/relationships/hyperlink" Target="mailto:prensa@sergat.com" TargetMode="External"/><Relationship Id="rId2" Type="http://schemas.openxmlformats.org/officeDocument/2006/relationships/numbering" Target="numbering.xml"/><Relationship Id="rId16" Type="http://schemas.openxmlformats.org/officeDocument/2006/relationships/hyperlink" Target="mailto:laura.diaz@acco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ccor" TargetMode="External"/><Relationship Id="rId5" Type="http://schemas.openxmlformats.org/officeDocument/2006/relationships/webSettings" Target="webSettings.xml"/><Relationship Id="rId15" Type="http://schemas.openxmlformats.org/officeDocument/2006/relationships/hyperlink" Target="https://www.tiktok.com/@accor?lang=fr" TargetMode="External"/><Relationship Id="rId23" Type="http://schemas.openxmlformats.org/officeDocument/2006/relationships/theme" Target="theme/theme1.xml"/><Relationship Id="rId10" Type="http://schemas.openxmlformats.org/officeDocument/2006/relationships/hyperlink" Target="https://group.accor.com/fr-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roup.accor.com/fr-FR" TargetMode="External"/><Relationship Id="rId14" Type="http://schemas.openxmlformats.org/officeDocument/2006/relationships/hyperlink" Target="https://www.instagram.com/acco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FoUusBXZBbPGO+wW0Y5YUE7Ovw==">CgMxLjAyCGguZ2pkZ3hzMgloLjMwajB6bGw4AHIhMVdseElERjJtR3hxeWVMQjFRWGQ2NEZVSTdBSmlpaDNM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1770</Words>
  <Characters>9049</Characters>
  <Application>Microsoft Office Word</Application>
  <DocSecurity>0</DocSecurity>
  <Lines>215</Lines>
  <Paragraphs>59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1</cp:revision>
  <dcterms:created xsi:type="dcterms:W3CDTF">2024-02-26T18:00:00Z</dcterms:created>
  <dcterms:modified xsi:type="dcterms:W3CDTF">2024-02-29T08:57:00Z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0x010100BF140807CC5628459DBE7A7888D5889D</vt:lpwstr>
  </property>
  <property fmtid="{D5CDD505-2E9C-101B-9397-08002B2CF9AE}" pid="3" name="GrammarlyDocumentId">
    <vt:lpwstr>be61f7efeb8ab660e7cc374f042952e2a811d264be9c72c06379fe41daf89e31</vt:lpwstr>
  </property>
  <property fmtid="{D5CDD505-2E9C-101B-9397-08002B2CF9AE}" pid="4" name="MediaServiceImageTags">
    <vt:lpwstr/>
  </property>
</Properties>
</file>