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79366" w14:textId="77777777" w:rsidR="009461C9" w:rsidRDefault="00000000">
      <w:pPr>
        <w:pBdr>
          <w:top w:val="nil"/>
          <w:left w:val="nil"/>
          <w:bottom w:val="nil"/>
          <w:right w:val="nil"/>
          <w:between w:val="nil"/>
        </w:pBdr>
        <w:ind w:left="0" w:hanging="2"/>
        <w:rPr>
          <w:color w:val="000000"/>
          <w:sz w:val="18"/>
          <w:szCs w:val="18"/>
        </w:rPr>
      </w:pPr>
      <w:r>
        <w:rPr>
          <w:color w:val="000000"/>
          <w:sz w:val="18"/>
          <w:szCs w:val="18"/>
        </w:rPr>
        <w:tab/>
      </w:r>
      <w:r>
        <w:rPr>
          <w:noProof/>
        </w:rPr>
        <w:drawing>
          <wp:anchor distT="0" distB="0" distL="114300" distR="114300" simplePos="0" relativeHeight="251658240" behindDoc="0" locked="0" layoutInCell="1" hidden="0" allowOverlap="1" wp14:anchorId="64F67BE7" wp14:editId="5EFC3152">
            <wp:simplePos x="0" y="0"/>
            <wp:positionH relativeFrom="column">
              <wp:posOffset>3522345</wp:posOffset>
            </wp:positionH>
            <wp:positionV relativeFrom="paragraph">
              <wp:posOffset>635</wp:posOffset>
            </wp:positionV>
            <wp:extent cx="2286000" cy="39052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286000" cy="390525"/>
                    </a:xfrm>
                    <a:prstGeom prst="rect">
                      <a:avLst/>
                    </a:prstGeom>
                    <a:ln/>
                  </pic:spPr>
                </pic:pic>
              </a:graphicData>
            </a:graphic>
          </wp:anchor>
        </w:drawing>
      </w:r>
    </w:p>
    <w:p w14:paraId="7DDE8731" w14:textId="77777777" w:rsidR="009461C9" w:rsidRDefault="00000000">
      <w:pPr>
        <w:pBdr>
          <w:top w:val="nil"/>
          <w:left w:val="nil"/>
          <w:bottom w:val="nil"/>
          <w:right w:val="nil"/>
          <w:between w:val="nil"/>
        </w:pBdr>
        <w:ind w:left="0" w:hanging="2"/>
        <w:jc w:val="right"/>
        <w:rPr>
          <w:color w:val="000000"/>
          <w:sz w:val="18"/>
          <w:szCs w:val="18"/>
        </w:rPr>
      </w:pPr>
      <w:r>
        <w:rPr>
          <w:color w:val="000000"/>
          <w:sz w:val="18"/>
          <w:szCs w:val="18"/>
        </w:rPr>
        <w:t xml:space="preserve">  </w:t>
      </w:r>
    </w:p>
    <w:p w14:paraId="5CF56C84" w14:textId="77777777" w:rsidR="009461C9" w:rsidRDefault="009461C9">
      <w:pPr>
        <w:pBdr>
          <w:top w:val="nil"/>
          <w:left w:val="nil"/>
          <w:bottom w:val="nil"/>
          <w:right w:val="nil"/>
          <w:between w:val="nil"/>
        </w:pBdr>
        <w:ind w:left="0" w:hanging="2"/>
        <w:jc w:val="right"/>
        <w:rPr>
          <w:color w:val="000000"/>
          <w:sz w:val="18"/>
          <w:szCs w:val="18"/>
        </w:rPr>
      </w:pPr>
    </w:p>
    <w:p w14:paraId="4E50FE9C" w14:textId="77777777" w:rsidR="009461C9" w:rsidRDefault="00000000">
      <w:pPr>
        <w:pBdr>
          <w:top w:val="nil"/>
          <w:left w:val="nil"/>
          <w:bottom w:val="nil"/>
          <w:right w:val="nil"/>
          <w:between w:val="nil"/>
        </w:pBdr>
        <w:ind w:left="0" w:hanging="2"/>
        <w:jc w:val="right"/>
        <w:rPr>
          <w:color w:val="000000"/>
          <w:sz w:val="18"/>
          <w:szCs w:val="18"/>
        </w:rPr>
      </w:pPr>
      <w:r>
        <w:rPr>
          <w:color w:val="000000"/>
          <w:sz w:val="18"/>
          <w:szCs w:val="18"/>
        </w:rPr>
        <w:t>Reservas España, Tel. 91 375 41 46</w:t>
      </w:r>
    </w:p>
    <w:p w14:paraId="14448DC7" w14:textId="77777777" w:rsidR="009461C9" w:rsidRDefault="00000000">
      <w:pPr>
        <w:pBdr>
          <w:top w:val="nil"/>
          <w:left w:val="nil"/>
          <w:bottom w:val="nil"/>
          <w:right w:val="nil"/>
          <w:between w:val="nil"/>
        </w:pBdr>
        <w:ind w:left="0" w:hanging="2"/>
        <w:jc w:val="right"/>
        <w:rPr>
          <w:color w:val="0000FF"/>
          <w:sz w:val="18"/>
          <w:szCs w:val="18"/>
          <w:u w:val="single"/>
        </w:rPr>
      </w:pPr>
      <w:r>
        <w:rPr>
          <w:color w:val="000000"/>
          <w:sz w:val="18"/>
          <w:szCs w:val="18"/>
        </w:rPr>
        <w:t xml:space="preserve">Web: </w:t>
      </w:r>
      <w:r>
        <w:rPr>
          <w:color w:val="0000FF"/>
          <w:sz w:val="18"/>
          <w:szCs w:val="18"/>
          <w:u w:val="single"/>
        </w:rPr>
        <w:t>www.delta.com</w:t>
      </w:r>
    </w:p>
    <w:p w14:paraId="24FFBC5F" w14:textId="77777777" w:rsidR="009461C9" w:rsidRDefault="009461C9">
      <w:pPr>
        <w:pBdr>
          <w:top w:val="nil"/>
          <w:left w:val="nil"/>
          <w:bottom w:val="nil"/>
          <w:right w:val="nil"/>
          <w:between w:val="nil"/>
        </w:pBdr>
        <w:ind w:left="0" w:hanging="2"/>
        <w:rPr>
          <w:color w:val="000000"/>
          <w:sz w:val="18"/>
          <w:szCs w:val="18"/>
        </w:rPr>
      </w:pPr>
    </w:p>
    <w:p w14:paraId="01EA6161" w14:textId="77777777" w:rsidR="009461C9" w:rsidRPr="00F41093" w:rsidRDefault="00000000">
      <w:pPr>
        <w:pBdr>
          <w:top w:val="nil"/>
          <w:left w:val="nil"/>
          <w:bottom w:val="nil"/>
          <w:right w:val="nil"/>
          <w:between w:val="nil"/>
        </w:pBdr>
        <w:ind w:left="0" w:hanging="2"/>
        <w:rPr>
          <w:rFonts w:ascii="Century Gothic" w:eastAsia="Century Gothic" w:hAnsi="Century Gothic" w:cs="Century Gothic"/>
          <w:color w:val="000000"/>
          <w:sz w:val="18"/>
          <w:szCs w:val="18"/>
          <w:lang w:val="en-US"/>
        </w:rPr>
      </w:pPr>
      <w:proofErr w:type="spellStart"/>
      <w:r w:rsidRPr="00F41093">
        <w:rPr>
          <w:rFonts w:ascii="Century Gothic" w:eastAsia="Century Gothic" w:hAnsi="Century Gothic" w:cs="Century Gothic"/>
          <w:color w:val="000000"/>
          <w:sz w:val="18"/>
          <w:szCs w:val="18"/>
          <w:lang w:val="en-US"/>
        </w:rPr>
        <w:t>Sergat</w:t>
      </w:r>
      <w:proofErr w:type="spellEnd"/>
    </w:p>
    <w:p w14:paraId="17A68A0D" w14:textId="77777777" w:rsidR="009461C9" w:rsidRPr="00F41093" w:rsidRDefault="00000000">
      <w:pPr>
        <w:pBdr>
          <w:top w:val="nil"/>
          <w:left w:val="nil"/>
          <w:bottom w:val="nil"/>
          <w:right w:val="nil"/>
          <w:between w:val="nil"/>
        </w:pBdr>
        <w:ind w:left="0" w:hanging="2"/>
        <w:rPr>
          <w:rFonts w:ascii="Century Gothic" w:eastAsia="Century Gothic" w:hAnsi="Century Gothic" w:cs="Century Gothic"/>
          <w:color w:val="000000"/>
          <w:sz w:val="18"/>
          <w:szCs w:val="18"/>
          <w:lang w:val="en-US"/>
        </w:rPr>
      </w:pPr>
      <w:r w:rsidRPr="00F41093">
        <w:rPr>
          <w:rFonts w:ascii="Century Gothic" w:eastAsia="Century Gothic" w:hAnsi="Century Gothic" w:cs="Century Gothic"/>
          <w:color w:val="000000"/>
          <w:sz w:val="18"/>
          <w:szCs w:val="18"/>
          <w:lang w:val="en-US"/>
        </w:rPr>
        <w:t>Tel.: 93 414 02 10</w:t>
      </w:r>
    </w:p>
    <w:p w14:paraId="6B0AD6F6" w14:textId="77777777" w:rsidR="009461C9" w:rsidRPr="00F41093" w:rsidRDefault="00000000">
      <w:pPr>
        <w:pBdr>
          <w:top w:val="nil"/>
          <w:left w:val="nil"/>
          <w:bottom w:val="nil"/>
          <w:right w:val="nil"/>
          <w:between w:val="nil"/>
        </w:pBdr>
        <w:ind w:left="0" w:hanging="2"/>
        <w:rPr>
          <w:rFonts w:ascii="Century Gothic" w:eastAsia="Century Gothic" w:hAnsi="Century Gothic" w:cs="Century Gothic"/>
          <w:color w:val="000000"/>
          <w:sz w:val="18"/>
          <w:szCs w:val="18"/>
          <w:lang w:val="en-US"/>
        </w:rPr>
      </w:pPr>
      <w:r w:rsidRPr="00F41093">
        <w:rPr>
          <w:rFonts w:ascii="Century Gothic" w:eastAsia="Century Gothic" w:hAnsi="Century Gothic" w:cs="Century Gothic"/>
          <w:color w:val="000000"/>
          <w:sz w:val="18"/>
          <w:szCs w:val="18"/>
          <w:lang w:val="en-US"/>
        </w:rPr>
        <w:t xml:space="preserve">E-mail: </w:t>
      </w:r>
      <w:hyperlink r:id="rId9">
        <w:r w:rsidRPr="00F41093">
          <w:rPr>
            <w:rFonts w:ascii="Century Gothic" w:eastAsia="Century Gothic" w:hAnsi="Century Gothic" w:cs="Century Gothic"/>
            <w:color w:val="0000FF"/>
            <w:sz w:val="18"/>
            <w:szCs w:val="18"/>
            <w:u w:val="single"/>
            <w:lang w:val="en-US"/>
          </w:rPr>
          <w:t>prensa@sergat.com</w:t>
        </w:r>
      </w:hyperlink>
      <w:r w:rsidRPr="00F41093">
        <w:rPr>
          <w:rFonts w:ascii="Century Gothic" w:eastAsia="Century Gothic" w:hAnsi="Century Gothic" w:cs="Century Gothic"/>
          <w:color w:val="000000"/>
          <w:sz w:val="18"/>
          <w:szCs w:val="18"/>
          <w:lang w:val="en-US"/>
        </w:rPr>
        <w:t xml:space="preserve"> </w:t>
      </w:r>
    </w:p>
    <w:p w14:paraId="19E57BBA" w14:textId="77777777" w:rsidR="009461C9" w:rsidRPr="00F41093" w:rsidRDefault="00000000">
      <w:pPr>
        <w:pBdr>
          <w:top w:val="nil"/>
          <w:left w:val="nil"/>
          <w:bottom w:val="nil"/>
          <w:right w:val="nil"/>
          <w:between w:val="nil"/>
        </w:pBdr>
        <w:spacing w:after="160"/>
        <w:ind w:left="0" w:hanging="2"/>
        <w:jc w:val="center"/>
        <w:rPr>
          <w:rFonts w:ascii="Century Gothic" w:eastAsia="Century Gothic" w:hAnsi="Century Gothic" w:cs="Century Gothic"/>
          <w:color w:val="000000"/>
          <w:lang w:val="en-US"/>
        </w:rPr>
      </w:pPr>
      <w:bookmarkStart w:id="0" w:name="_heading=h.gjdgxs" w:colFirst="0" w:colLast="0"/>
      <w:bookmarkEnd w:id="0"/>
      <w:r w:rsidRPr="00F41093">
        <w:rPr>
          <w:rFonts w:ascii="Century Gothic" w:eastAsia="Century Gothic" w:hAnsi="Century Gothic" w:cs="Century Gothic"/>
          <w:b/>
          <w:color w:val="000000"/>
          <w:lang w:val="en-US"/>
        </w:rPr>
        <w:t xml:space="preserve"> </w:t>
      </w:r>
    </w:p>
    <w:p w14:paraId="13C858AD" w14:textId="77777777" w:rsidR="009461C9" w:rsidRDefault="00000000">
      <w:pPr>
        <w:pBdr>
          <w:top w:val="nil"/>
          <w:left w:val="nil"/>
          <w:bottom w:val="nil"/>
          <w:right w:val="nil"/>
          <w:between w:val="nil"/>
        </w:pBdr>
        <w:spacing w:after="120"/>
        <w:ind w:left="0" w:hanging="2"/>
        <w:rPr>
          <w:rFonts w:ascii="Century Gothic" w:eastAsia="Century Gothic" w:hAnsi="Century Gothic" w:cs="Century Gothic"/>
          <w:color w:val="000000"/>
          <w:u w:val="single"/>
        </w:rPr>
      </w:pPr>
      <w:r>
        <w:rPr>
          <w:rFonts w:ascii="Century Gothic" w:eastAsia="Century Gothic" w:hAnsi="Century Gothic" w:cs="Century Gothic"/>
          <w:b/>
          <w:color w:val="000000"/>
          <w:u w:val="single"/>
        </w:rPr>
        <w:t>COMUNICADO DE PRENSA</w:t>
      </w:r>
    </w:p>
    <w:p w14:paraId="07FEB0FB" w14:textId="77777777" w:rsidR="009461C9" w:rsidRDefault="009461C9">
      <w:pPr>
        <w:pBdr>
          <w:top w:val="nil"/>
          <w:left w:val="nil"/>
          <w:bottom w:val="nil"/>
          <w:right w:val="nil"/>
          <w:between w:val="nil"/>
        </w:pBdr>
        <w:spacing w:after="120"/>
        <w:ind w:left="0" w:hanging="2"/>
        <w:rPr>
          <w:rFonts w:ascii="Century Gothic" w:eastAsia="Century Gothic" w:hAnsi="Century Gothic" w:cs="Century Gothic"/>
          <w:color w:val="000000"/>
          <w:u w:val="single"/>
        </w:rPr>
      </w:pPr>
    </w:p>
    <w:p w14:paraId="50D82F46" w14:textId="77777777" w:rsidR="009461C9" w:rsidRDefault="00000000">
      <w:pPr>
        <w:pBdr>
          <w:top w:val="nil"/>
          <w:left w:val="nil"/>
          <w:bottom w:val="nil"/>
          <w:right w:val="nil"/>
          <w:between w:val="nil"/>
        </w:pBdr>
        <w:spacing w:after="160" w:line="360" w:lineRule="auto"/>
        <w:ind w:left="0" w:hanging="2"/>
        <w:jc w:val="center"/>
        <w:rPr>
          <w:rFonts w:ascii="Century Gothic" w:eastAsia="Century Gothic" w:hAnsi="Century Gothic" w:cs="Century Gothic"/>
          <w:color w:val="000000"/>
          <w:sz w:val="24"/>
          <w:szCs w:val="24"/>
        </w:rPr>
      </w:pPr>
      <w:r>
        <w:rPr>
          <w:rFonts w:ascii="Century Gothic" w:eastAsia="Century Gothic" w:hAnsi="Century Gothic" w:cs="Century Gothic"/>
          <w:b/>
          <w:sz w:val="24"/>
          <w:szCs w:val="24"/>
        </w:rPr>
        <w:t xml:space="preserve">La </w:t>
      </w:r>
      <w:proofErr w:type="gramStart"/>
      <w:r>
        <w:rPr>
          <w:rFonts w:ascii="Century Gothic" w:eastAsia="Century Gothic" w:hAnsi="Century Gothic" w:cs="Century Gothic"/>
          <w:b/>
          <w:sz w:val="24"/>
          <w:szCs w:val="24"/>
        </w:rPr>
        <w:t>Directora</w:t>
      </w:r>
      <w:proofErr w:type="gramEnd"/>
      <w:r>
        <w:rPr>
          <w:rFonts w:ascii="Century Gothic" w:eastAsia="Century Gothic" w:hAnsi="Century Gothic" w:cs="Century Gothic"/>
          <w:b/>
          <w:sz w:val="24"/>
          <w:szCs w:val="24"/>
        </w:rPr>
        <w:t xml:space="preserve"> de Sostenibilidad de Delta se muestra optimista en el camino hacia el cero neto </w:t>
      </w:r>
    </w:p>
    <w:p w14:paraId="109A8313" w14:textId="77777777" w:rsidR="009461C9" w:rsidRDefault="009461C9">
      <w:pPr>
        <w:pBdr>
          <w:top w:val="nil"/>
          <w:left w:val="nil"/>
          <w:bottom w:val="nil"/>
          <w:right w:val="nil"/>
          <w:between w:val="nil"/>
        </w:pBdr>
        <w:spacing w:after="160" w:line="360" w:lineRule="auto"/>
        <w:ind w:left="0" w:hanging="2"/>
        <w:jc w:val="both"/>
        <w:rPr>
          <w:rFonts w:ascii="Century Gothic" w:eastAsia="Century Gothic" w:hAnsi="Century Gothic" w:cs="Century Gothic"/>
          <w:i/>
          <w:color w:val="000000"/>
          <w:sz w:val="20"/>
          <w:szCs w:val="20"/>
        </w:rPr>
      </w:pPr>
    </w:p>
    <w:p w14:paraId="12A31FEF"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i/>
          <w:sz w:val="20"/>
          <w:szCs w:val="20"/>
        </w:rPr>
      </w:pPr>
      <w:r>
        <w:rPr>
          <w:rFonts w:ascii="Century Gothic" w:eastAsia="Century Gothic" w:hAnsi="Century Gothic" w:cs="Century Gothic"/>
          <w:b/>
          <w:sz w:val="20"/>
          <w:szCs w:val="20"/>
        </w:rPr>
        <w:t xml:space="preserve">Atlanta, </w:t>
      </w:r>
      <w:r>
        <w:rPr>
          <w:rFonts w:ascii="Century Gothic" w:eastAsia="Century Gothic" w:hAnsi="Century Gothic" w:cs="Century Gothic"/>
          <w:b/>
          <w:color w:val="000000"/>
          <w:sz w:val="20"/>
          <w:szCs w:val="20"/>
        </w:rPr>
        <w:t>5 de marzo de 2024</w:t>
      </w:r>
      <w:r>
        <w:rPr>
          <w:rFonts w:ascii="Century Gothic" w:eastAsia="Century Gothic" w:hAnsi="Century Gothic" w:cs="Century Gothic"/>
          <w:b/>
          <w:sz w:val="20"/>
          <w:szCs w:val="20"/>
        </w:rPr>
        <w:t xml:space="preserve"> - </w:t>
      </w:r>
      <w:r>
        <w:rPr>
          <w:rFonts w:ascii="Century Gothic" w:eastAsia="Century Gothic" w:hAnsi="Century Gothic" w:cs="Century Gothic"/>
          <w:sz w:val="20"/>
          <w:szCs w:val="20"/>
        </w:rPr>
        <w:t xml:space="preserve">La </w:t>
      </w:r>
      <w:proofErr w:type="gramStart"/>
      <w:r>
        <w:rPr>
          <w:rFonts w:ascii="Century Gothic" w:eastAsia="Century Gothic" w:hAnsi="Century Gothic" w:cs="Century Gothic"/>
          <w:sz w:val="20"/>
          <w:szCs w:val="20"/>
        </w:rPr>
        <w:t>Directora</w:t>
      </w:r>
      <w:proofErr w:type="gramEnd"/>
      <w:r>
        <w:rPr>
          <w:rFonts w:ascii="Century Gothic" w:eastAsia="Century Gothic" w:hAnsi="Century Gothic" w:cs="Century Gothic"/>
          <w:sz w:val="20"/>
          <w:szCs w:val="20"/>
        </w:rPr>
        <w:t xml:space="preserve"> de Sostenibilidad de Delta Air </w:t>
      </w:r>
      <w:proofErr w:type="spellStart"/>
      <w:r>
        <w:rPr>
          <w:rFonts w:ascii="Century Gothic" w:eastAsia="Century Gothic" w:hAnsi="Century Gothic" w:cs="Century Gothic"/>
          <w:sz w:val="20"/>
          <w:szCs w:val="20"/>
        </w:rPr>
        <w:t>Lines</w:t>
      </w:r>
      <w:proofErr w:type="spellEnd"/>
      <w:r>
        <w:rPr>
          <w:rFonts w:ascii="Century Gothic" w:eastAsia="Century Gothic" w:hAnsi="Century Gothic" w:cs="Century Gothic"/>
          <w:sz w:val="20"/>
          <w:szCs w:val="20"/>
        </w:rPr>
        <w:t xml:space="preserve"> (CSO), Amelia </w:t>
      </w:r>
      <w:proofErr w:type="spellStart"/>
      <w:r>
        <w:rPr>
          <w:rFonts w:ascii="Century Gothic" w:eastAsia="Century Gothic" w:hAnsi="Century Gothic" w:cs="Century Gothic"/>
          <w:sz w:val="20"/>
          <w:szCs w:val="20"/>
        </w:rPr>
        <w:t>DeLuca</w:t>
      </w:r>
      <w:proofErr w:type="spellEnd"/>
      <w:r>
        <w:rPr>
          <w:rFonts w:ascii="Century Gothic" w:eastAsia="Century Gothic" w:hAnsi="Century Gothic" w:cs="Century Gothic"/>
          <w:sz w:val="20"/>
          <w:szCs w:val="20"/>
        </w:rPr>
        <w:t>, se muestra optimista en el camino hacia el cero neto y comparte la manera en que la compañía ya está trabajando para lograr una estrategia global de sostenibilidad medioambiental diseñada para ser duradera a largo plazo</w:t>
      </w:r>
      <w:r>
        <w:rPr>
          <w:rFonts w:ascii="Century Gothic" w:eastAsia="Century Gothic" w:hAnsi="Century Gothic" w:cs="Century Gothic"/>
          <w:i/>
          <w:sz w:val="20"/>
          <w:szCs w:val="20"/>
        </w:rPr>
        <w:t>:</w:t>
      </w:r>
    </w:p>
    <w:p w14:paraId="170CD7DD"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Hoja de ruta</w:t>
      </w:r>
    </w:p>
    <w:p w14:paraId="62C1EA10"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i/>
          <w:sz w:val="20"/>
          <w:szCs w:val="20"/>
        </w:rPr>
        <w:t>“</w:t>
      </w:r>
      <w:r>
        <w:rPr>
          <w:rFonts w:ascii="Century Gothic" w:eastAsia="Century Gothic" w:hAnsi="Century Gothic" w:cs="Century Gothic"/>
          <w:color w:val="000000"/>
          <w:sz w:val="20"/>
          <w:szCs w:val="20"/>
        </w:rPr>
        <w:t xml:space="preserve">La misión de Delta de conectar mejor el mundo nunca ha sido más importante en nuestro camino hacia las emisiones netas cero para 2050 y un futuro más sostenible de los viajes. Por eso, hace un año, presentamos una hoja de ruta estratégica para alcanzar nuestras ambiciones climáticas y de sostenibilidad. En Delta, creemos que lo que se mide se hace, por lo que nuestra estrategia pública abarca hitos a corto, medio y largo plazo para guiar </w:t>
      </w:r>
      <w:r>
        <w:rPr>
          <w:rFonts w:ascii="Century Gothic" w:eastAsia="Century Gothic" w:hAnsi="Century Gothic" w:cs="Century Gothic"/>
          <w:sz w:val="20"/>
          <w:szCs w:val="20"/>
        </w:rPr>
        <w:t>hacia dónde</w:t>
      </w:r>
      <w:r>
        <w:rPr>
          <w:rFonts w:ascii="Century Gothic" w:eastAsia="Century Gothic" w:hAnsi="Century Gothic" w:cs="Century Gothic"/>
          <w:color w:val="000000"/>
          <w:sz w:val="20"/>
          <w:szCs w:val="20"/>
        </w:rPr>
        <w:t xml:space="preserve"> volamos, cómo volamos y el combustible que utilizamos, todo ello mientras apoyamos las elevadas experiencias que los clientes de Delta esperan</w:t>
      </w:r>
      <w:r>
        <w:rPr>
          <w:rFonts w:ascii="Century Gothic" w:eastAsia="Century Gothic" w:hAnsi="Century Gothic" w:cs="Century Gothic"/>
          <w:sz w:val="20"/>
          <w:szCs w:val="20"/>
        </w:rPr>
        <w:t>”</w:t>
      </w:r>
      <w:r>
        <w:rPr>
          <w:rFonts w:ascii="Century Gothic" w:eastAsia="Century Gothic" w:hAnsi="Century Gothic" w:cs="Century Gothic"/>
          <w:color w:val="000000"/>
          <w:sz w:val="20"/>
          <w:szCs w:val="20"/>
        </w:rPr>
        <w:t xml:space="preserve">.  </w:t>
      </w:r>
    </w:p>
    <w:p w14:paraId="443D4B2B"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Reducción de emisiones</w:t>
      </w:r>
    </w:p>
    <w:p w14:paraId="7E7984E9"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“Dado que</w:t>
      </w:r>
      <w:r>
        <w:rPr>
          <w:rFonts w:ascii="Century Gothic" w:eastAsia="Century Gothic" w:hAnsi="Century Gothic" w:cs="Century Gothic"/>
          <w:color w:val="000000"/>
          <w:sz w:val="20"/>
          <w:szCs w:val="20"/>
        </w:rPr>
        <w:t xml:space="preserve"> más del 90 % de nuestra huella de carbono </w:t>
      </w:r>
      <w:r>
        <w:rPr>
          <w:rFonts w:ascii="Century Gothic" w:eastAsia="Century Gothic" w:hAnsi="Century Gothic" w:cs="Century Gothic"/>
          <w:sz w:val="20"/>
          <w:szCs w:val="20"/>
        </w:rPr>
        <w:t xml:space="preserve">procede </w:t>
      </w:r>
      <w:r>
        <w:rPr>
          <w:rFonts w:ascii="Century Gothic" w:eastAsia="Century Gothic" w:hAnsi="Century Gothic" w:cs="Century Gothic"/>
          <w:color w:val="000000"/>
          <w:sz w:val="20"/>
          <w:szCs w:val="20"/>
        </w:rPr>
        <w:t xml:space="preserve">del combustible para aviones, nos centramos cada día en reducir las emisiones en nuestras propias operaciones, al tiempo que trabajamos con las partes interesadas del sector para encontrar soluciones de descarbonización a más largo plazo. En 2024, esperamos que este trabajo reduzca aún más el consumo de combustible mediante el impulso de políticas y la creación de coaliciones en apoyo de la descarbonización, </w:t>
      </w:r>
      <w:r>
        <w:rPr>
          <w:rFonts w:ascii="Century Gothic" w:eastAsia="Century Gothic" w:hAnsi="Century Gothic" w:cs="Century Gothic"/>
          <w:sz w:val="20"/>
          <w:szCs w:val="20"/>
        </w:rPr>
        <w:t>a la vez que impulsamos</w:t>
      </w:r>
      <w:r>
        <w:rPr>
          <w:rFonts w:ascii="Century Gothic" w:eastAsia="Century Gothic" w:hAnsi="Century Gothic" w:cs="Century Gothic"/>
          <w:color w:val="000000"/>
          <w:sz w:val="20"/>
          <w:szCs w:val="20"/>
        </w:rPr>
        <w:t xml:space="preserve"> la eficiencia de costes en nuestro negocio</w:t>
      </w:r>
      <w:r>
        <w:rPr>
          <w:rFonts w:ascii="Century Gothic" w:eastAsia="Century Gothic" w:hAnsi="Century Gothic" w:cs="Century Gothic"/>
          <w:sz w:val="20"/>
          <w:szCs w:val="20"/>
        </w:rPr>
        <w:t>”</w:t>
      </w:r>
      <w:r>
        <w:rPr>
          <w:rFonts w:ascii="Century Gothic" w:eastAsia="Century Gothic" w:hAnsi="Century Gothic" w:cs="Century Gothic"/>
          <w:color w:val="000000"/>
          <w:sz w:val="20"/>
          <w:szCs w:val="20"/>
        </w:rPr>
        <w:t xml:space="preserve">.  </w:t>
      </w:r>
    </w:p>
    <w:p w14:paraId="16ECEC1D"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lastRenderedPageBreak/>
        <w:t>Plásticos de un solo uso</w:t>
      </w:r>
    </w:p>
    <w:p w14:paraId="1A2AC59E" w14:textId="1EC13584"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“En línea con</w:t>
      </w:r>
      <w:r>
        <w:rPr>
          <w:rFonts w:ascii="Century Gothic" w:eastAsia="Century Gothic" w:hAnsi="Century Gothic" w:cs="Century Gothic"/>
          <w:color w:val="000000"/>
          <w:sz w:val="20"/>
          <w:szCs w:val="20"/>
        </w:rPr>
        <w:t xml:space="preserve"> nuestra labor de descarbonización, también estamos aplicando medidas de sostenibilidad en Delta de formas que hoy están bajo nuestro control, como la reducción de los plásticos de un solo uso a bordo. De hecho, actualmente estamos probando un diseño de vaso de papel completamente nuevo que, una vez implantado en toda nuestra red, esperamos que elimine m</w:t>
      </w:r>
      <w:r>
        <w:rPr>
          <w:rFonts w:ascii="Century Gothic" w:eastAsia="Century Gothic" w:hAnsi="Century Gothic" w:cs="Century Gothic"/>
          <w:sz w:val="20"/>
          <w:szCs w:val="20"/>
        </w:rPr>
        <w:t>ás de 3 millones de kilos (</w:t>
      </w:r>
      <w:r>
        <w:rPr>
          <w:rFonts w:ascii="Century Gothic" w:eastAsia="Century Gothic" w:hAnsi="Century Gothic" w:cs="Century Gothic"/>
          <w:color w:val="000000"/>
          <w:sz w:val="20"/>
          <w:szCs w:val="20"/>
        </w:rPr>
        <w:t xml:space="preserve">7 millones de libras) de plásticos de un solo uso (SUP) a bordo anualmente, lo que equivale al peso de 1300 camionetas. 2024 será un año en el que seguiremos </w:t>
      </w:r>
      <w:r>
        <w:rPr>
          <w:rFonts w:ascii="Century Gothic" w:eastAsia="Century Gothic" w:hAnsi="Century Gothic" w:cs="Century Gothic"/>
          <w:sz w:val="20"/>
          <w:szCs w:val="20"/>
        </w:rPr>
        <w:t>favoreciendo</w:t>
      </w:r>
      <w:r>
        <w:rPr>
          <w:rFonts w:ascii="Century Gothic" w:eastAsia="Century Gothic" w:hAnsi="Century Gothic" w:cs="Century Gothic"/>
          <w:color w:val="000000"/>
          <w:sz w:val="20"/>
          <w:szCs w:val="20"/>
        </w:rPr>
        <w:t xml:space="preserve"> la optimización de nuestro </w:t>
      </w:r>
      <w:r>
        <w:rPr>
          <w:rFonts w:ascii="Century Gothic" w:eastAsia="Century Gothic" w:hAnsi="Century Gothic" w:cs="Century Gothic"/>
          <w:sz w:val="20"/>
          <w:szCs w:val="20"/>
        </w:rPr>
        <w:t xml:space="preserve">suministro </w:t>
      </w:r>
      <w:r>
        <w:rPr>
          <w:rFonts w:ascii="Century Gothic" w:eastAsia="Century Gothic" w:hAnsi="Century Gothic" w:cs="Century Gothic"/>
          <w:color w:val="000000"/>
          <w:sz w:val="20"/>
          <w:szCs w:val="20"/>
        </w:rPr>
        <w:t>a bordo (menos peso en el avión quema menos combustible) y en toda la experiencia en tierra, al tiempo que reducimos los residuos</w:t>
      </w:r>
      <w:r>
        <w:rPr>
          <w:rFonts w:ascii="Century Gothic" w:eastAsia="Century Gothic" w:hAnsi="Century Gothic" w:cs="Century Gothic"/>
          <w:sz w:val="20"/>
          <w:szCs w:val="20"/>
        </w:rPr>
        <w:t>”</w:t>
      </w:r>
      <w:r>
        <w:rPr>
          <w:rFonts w:ascii="Century Gothic" w:eastAsia="Century Gothic" w:hAnsi="Century Gothic" w:cs="Century Gothic"/>
          <w:color w:val="000000"/>
          <w:sz w:val="20"/>
          <w:szCs w:val="20"/>
        </w:rPr>
        <w:t xml:space="preserve">.  </w:t>
      </w:r>
    </w:p>
    <w:p w14:paraId="75EBF0E6"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b/>
          <w:color w:val="000000"/>
          <w:sz w:val="20"/>
          <w:szCs w:val="20"/>
        </w:rPr>
      </w:pPr>
      <w:r>
        <w:rPr>
          <w:rFonts w:ascii="Century Gothic" w:eastAsia="Century Gothic" w:hAnsi="Century Gothic" w:cs="Century Gothic"/>
          <w:b/>
          <w:sz w:val="20"/>
          <w:szCs w:val="20"/>
        </w:rPr>
        <w:t>E</w:t>
      </w:r>
      <w:r>
        <w:rPr>
          <w:rFonts w:ascii="Century Gothic" w:eastAsia="Century Gothic" w:hAnsi="Century Gothic" w:cs="Century Gothic"/>
          <w:b/>
          <w:color w:val="000000"/>
          <w:sz w:val="20"/>
          <w:szCs w:val="20"/>
        </w:rPr>
        <w:t xml:space="preserve">strategia general de sostenibilidad </w:t>
      </w:r>
    </w:p>
    <w:p w14:paraId="778591BA"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 xml:space="preserve">Amelia </w:t>
      </w:r>
      <w:proofErr w:type="spellStart"/>
      <w:r>
        <w:rPr>
          <w:rFonts w:ascii="Century Gothic" w:eastAsia="Century Gothic" w:hAnsi="Century Gothic" w:cs="Century Gothic"/>
          <w:sz w:val="20"/>
          <w:szCs w:val="20"/>
        </w:rPr>
        <w:t>DeLuca</w:t>
      </w:r>
      <w:proofErr w:type="spellEnd"/>
      <w:r>
        <w:rPr>
          <w:rFonts w:ascii="Century Gothic" w:eastAsia="Century Gothic" w:hAnsi="Century Gothic" w:cs="Century Gothic"/>
          <w:sz w:val="20"/>
          <w:szCs w:val="20"/>
        </w:rPr>
        <w:t xml:space="preserve"> desgrana algunos aspectos destacados en los que esta estrategia general de sostenibilidad, </w:t>
      </w:r>
      <w:r>
        <w:rPr>
          <w:rFonts w:ascii="Century Gothic" w:eastAsia="Century Gothic" w:hAnsi="Century Gothic" w:cs="Century Gothic"/>
          <w:color w:val="000000"/>
          <w:sz w:val="20"/>
          <w:szCs w:val="20"/>
        </w:rPr>
        <w:t>diseñada para ser duradera a largo plazo, ya se est</w:t>
      </w:r>
      <w:r>
        <w:rPr>
          <w:rFonts w:ascii="Century Gothic" w:eastAsia="Century Gothic" w:hAnsi="Century Gothic" w:cs="Century Gothic"/>
          <w:sz w:val="20"/>
          <w:szCs w:val="20"/>
        </w:rPr>
        <w:t>á plasmando:</w:t>
      </w:r>
    </w:p>
    <w:p w14:paraId="5A34753E"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1. La sostenibilidad es una consideración fundamental para las decisiones empresariales</w:t>
      </w:r>
    </w:p>
    <w:p w14:paraId="2982C249"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“La</w:t>
      </w:r>
      <w:r>
        <w:rPr>
          <w:rFonts w:ascii="Century Gothic" w:eastAsia="Century Gothic" w:hAnsi="Century Gothic" w:cs="Century Gothic"/>
          <w:color w:val="000000"/>
          <w:sz w:val="20"/>
          <w:szCs w:val="20"/>
        </w:rPr>
        <w:t xml:space="preserve"> hoja de ruta de sostenibilidad de Delta implica influir en decisiones empresariales que van desde </w:t>
      </w:r>
      <w:r>
        <w:rPr>
          <w:rFonts w:ascii="Century Gothic" w:eastAsia="Century Gothic" w:hAnsi="Century Gothic" w:cs="Century Gothic"/>
          <w:b/>
          <w:color w:val="000000"/>
          <w:sz w:val="20"/>
          <w:szCs w:val="20"/>
        </w:rPr>
        <w:t>lo que volamos y cómo volamos, hasta el combustible que utilizamos para llegar allí</w:t>
      </w:r>
      <w:r>
        <w:rPr>
          <w:rFonts w:ascii="Century Gothic" w:eastAsia="Century Gothic" w:hAnsi="Century Gothic" w:cs="Century Gothic"/>
          <w:b/>
          <w:sz w:val="20"/>
          <w:szCs w:val="20"/>
        </w:rPr>
        <w:t>”</w:t>
      </w:r>
      <w:r>
        <w:rPr>
          <w:rFonts w:ascii="Century Gothic" w:eastAsia="Century Gothic" w:hAnsi="Century Gothic" w:cs="Century Gothic"/>
          <w:color w:val="000000"/>
          <w:sz w:val="20"/>
          <w:szCs w:val="20"/>
        </w:rPr>
        <w:t>.</w:t>
      </w:r>
    </w:p>
    <w:p w14:paraId="1864408A"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 xml:space="preserve">Lo que volamos </w:t>
      </w:r>
    </w:p>
    <w:p w14:paraId="590CB5B0"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Delta ha realizado grandes inversiones en aeronaves de última generación que garantizan experiencias seguras, fiables y </w:t>
      </w:r>
      <w:r>
        <w:rPr>
          <w:rFonts w:ascii="Century Gothic" w:eastAsia="Century Gothic" w:hAnsi="Century Gothic" w:cs="Century Gothic"/>
          <w:i/>
          <w:sz w:val="20"/>
          <w:szCs w:val="20"/>
        </w:rPr>
        <w:t>premium</w:t>
      </w:r>
      <w:r>
        <w:rPr>
          <w:rFonts w:ascii="Century Gothic" w:eastAsia="Century Gothic" w:hAnsi="Century Gothic" w:cs="Century Gothic"/>
          <w:sz w:val="20"/>
          <w:szCs w:val="20"/>
        </w:rPr>
        <w:t xml:space="preserve"> </w:t>
      </w:r>
      <w:r>
        <w:rPr>
          <w:rFonts w:ascii="Century Gothic" w:eastAsia="Century Gothic" w:hAnsi="Century Gothic" w:cs="Century Gothic"/>
          <w:color w:val="000000"/>
          <w:sz w:val="20"/>
          <w:szCs w:val="20"/>
        </w:rPr>
        <w:t xml:space="preserve">para los clientes, al tiempo que ofrecen una eficiencia de combustible superior, entre otras: </w:t>
      </w:r>
    </w:p>
    <w:p w14:paraId="57A30CAF" w14:textId="77777777" w:rsidR="009461C9" w:rsidRDefault="00000000">
      <w:pPr>
        <w:numPr>
          <w:ilvl w:val="0"/>
          <w:numId w:val="1"/>
        </w:num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El A321neo, que Delta comenzó a recibir en 2022, es un 20 % más eficiente en consumo de combustible que los aviones que </w:t>
      </w:r>
      <w:r>
        <w:rPr>
          <w:rFonts w:ascii="Century Gothic" w:eastAsia="Century Gothic" w:hAnsi="Century Gothic" w:cs="Century Gothic"/>
          <w:sz w:val="20"/>
          <w:szCs w:val="20"/>
        </w:rPr>
        <w:t>se retiraron</w:t>
      </w:r>
      <w:r>
        <w:rPr>
          <w:rFonts w:ascii="Century Gothic" w:eastAsia="Century Gothic" w:hAnsi="Century Gothic" w:cs="Century Gothic"/>
          <w:color w:val="000000"/>
          <w:sz w:val="20"/>
          <w:szCs w:val="20"/>
        </w:rPr>
        <w:t xml:space="preserve"> de su clase. Delta está operando actualmente 48, con un total de 155 programados para volar con </w:t>
      </w:r>
      <w:r>
        <w:rPr>
          <w:rFonts w:ascii="Century Gothic" w:eastAsia="Century Gothic" w:hAnsi="Century Gothic" w:cs="Century Gothic"/>
          <w:sz w:val="20"/>
          <w:szCs w:val="20"/>
        </w:rPr>
        <w:t>sus</w:t>
      </w:r>
      <w:r>
        <w:rPr>
          <w:rFonts w:ascii="Century Gothic" w:eastAsia="Century Gothic" w:hAnsi="Century Gothic" w:cs="Century Gothic"/>
          <w:color w:val="000000"/>
          <w:sz w:val="20"/>
          <w:szCs w:val="20"/>
        </w:rPr>
        <w:t xml:space="preserve"> colores a finales de 2028</w:t>
      </w:r>
      <w:r>
        <w:rPr>
          <w:rFonts w:ascii="Century Gothic" w:eastAsia="Century Gothic" w:hAnsi="Century Gothic" w:cs="Century Gothic"/>
          <w:sz w:val="20"/>
          <w:szCs w:val="20"/>
        </w:rPr>
        <w:t>.</w:t>
      </w:r>
      <w:r>
        <w:rPr>
          <w:rFonts w:ascii="Century Gothic" w:eastAsia="Century Gothic" w:hAnsi="Century Gothic" w:cs="Century Gothic"/>
          <w:color w:val="000000"/>
          <w:sz w:val="20"/>
          <w:szCs w:val="20"/>
        </w:rPr>
        <w:t xml:space="preserve"> </w:t>
      </w:r>
    </w:p>
    <w:p w14:paraId="252A770F" w14:textId="77777777" w:rsidR="009461C9" w:rsidRDefault="00000000">
      <w:pPr>
        <w:numPr>
          <w:ilvl w:val="0"/>
          <w:numId w:val="1"/>
        </w:num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El A220, del que Delta es el cliente de lanzamiento en Norteamérica, ofrece más de un 25 % más de eficiencia de combustible que los aviones pequeños de fuselaje estrecho que se retiran. Delta añadirá 77 aviones adicionales a los 68 que ya están en servicio</w:t>
      </w:r>
      <w:r>
        <w:rPr>
          <w:rFonts w:ascii="Century Gothic" w:eastAsia="Century Gothic" w:hAnsi="Century Gothic" w:cs="Century Gothic"/>
          <w:sz w:val="20"/>
          <w:szCs w:val="20"/>
        </w:rPr>
        <w:t>.</w:t>
      </w:r>
    </w:p>
    <w:p w14:paraId="692639FC" w14:textId="77777777" w:rsidR="009461C9" w:rsidRDefault="00000000">
      <w:pPr>
        <w:numPr>
          <w:ilvl w:val="0"/>
          <w:numId w:val="1"/>
        </w:num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El pedido de</w:t>
      </w:r>
      <w:r>
        <w:rPr>
          <w:rFonts w:ascii="Century Gothic" w:eastAsia="Century Gothic" w:hAnsi="Century Gothic" w:cs="Century Gothic"/>
          <w:color w:val="000000"/>
          <w:sz w:val="20"/>
          <w:szCs w:val="20"/>
        </w:rPr>
        <w:t xml:space="preserve"> 20 A350-1000 de nueva generación </w:t>
      </w:r>
      <w:r>
        <w:rPr>
          <w:rFonts w:ascii="Century Gothic" w:eastAsia="Century Gothic" w:hAnsi="Century Gothic" w:cs="Century Gothic"/>
          <w:sz w:val="20"/>
          <w:szCs w:val="20"/>
        </w:rPr>
        <w:t xml:space="preserve">se empezará </w:t>
      </w:r>
      <w:r>
        <w:rPr>
          <w:rFonts w:ascii="Century Gothic" w:eastAsia="Century Gothic" w:hAnsi="Century Gothic" w:cs="Century Gothic"/>
          <w:color w:val="000000"/>
          <w:sz w:val="20"/>
          <w:szCs w:val="20"/>
        </w:rPr>
        <w:t xml:space="preserve">a recibir en 2026 para </w:t>
      </w:r>
      <w:r>
        <w:rPr>
          <w:rFonts w:ascii="Century Gothic" w:eastAsia="Century Gothic" w:hAnsi="Century Gothic" w:cs="Century Gothic"/>
          <w:sz w:val="20"/>
          <w:szCs w:val="20"/>
        </w:rPr>
        <w:t>las</w:t>
      </w:r>
      <w:r>
        <w:rPr>
          <w:rFonts w:ascii="Century Gothic" w:eastAsia="Century Gothic" w:hAnsi="Century Gothic" w:cs="Century Gothic"/>
          <w:color w:val="000000"/>
          <w:sz w:val="20"/>
          <w:szCs w:val="20"/>
        </w:rPr>
        <w:t xml:space="preserve"> operaciones internacionales de Delta. Esta flota será un 20 % más eficiente en consumo de combustible que los aviones de fuselaje ancho que se jubilan, y se sumará a la flota actual de A350-900, que aumentará a 44 aviones. </w:t>
      </w:r>
    </w:p>
    <w:p w14:paraId="7A8B79F2" w14:textId="752EC1D2"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lastRenderedPageBreak/>
        <w:t>La compañía t</w:t>
      </w:r>
      <w:r>
        <w:rPr>
          <w:rFonts w:ascii="Century Gothic" w:eastAsia="Century Gothic" w:hAnsi="Century Gothic" w:cs="Century Gothic"/>
          <w:color w:val="000000"/>
          <w:sz w:val="20"/>
          <w:szCs w:val="20"/>
        </w:rPr>
        <w:t xml:space="preserve">ambién </w:t>
      </w:r>
      <w:r>
        <w:rPr>
          <w:rFonts w:ascii="Century Gothic" w:eastAsia="Century Gothic" w:hAnsi="Century Gothic" w:cs="Century Gothic"/>
          <w:sz w:val="20"/>
          <w:szCs w:val="20"/>
        </w:rPr>
        <w:t>está</w:t>
      </w:r>
      <w:r>
        <w:rPr>
          <w:rFonts w:ascii="Century Gothic" w:eastAsia="Century Gothic" w:hAnsi="Century Gothic" w:cs="Century Gothic"/>
          <w:color w:val="000000"/>
          <w:sz w:val="20"/>
          <w:szCs w:val="20"/>
        </w:rPr>
        <w:t xml:space="preserve"> instalando </w:t>
      </w:r>
      <w:proofErr w:type="spellStart"/>
      <w:r>
        <w:rPr>
          <w:rFonts w:ascii="Century Gothic" w:eastAsia="Century Gothic" w:hAnsi="Century Gothic" w:cs="Century Gothic"/>
          <w:i/>
          <w:color w:val="000000"/>
          <w:sz w:val="20"/>
          <w:szCs w:val="20"/>
        </w:rPr>
        <w:t>winglets</w:t>
      </w:r>
      <w:proofErr w:type="spellEnd"/>
      <w:r>
        <w:rPr>
          <w:rFonts w:ascii="Century Gothic" w:eastAsia="Century Gothic" w:hAnsi="Century Gothic" w:cs="Century Gothic"/>
          <w:color w:val="000000"/>
          <w:sz w:val="20"/>
          <w:szCs w:val="20"/>
        </w:rPr>
        <w:t xml:space="preserve"> mejorados en flotas existentes como el 737-900ER y el 737-800 para </w:t>
      </w:r>
      <w:r>
        <w:rPr>
          <w:rFonts w:ascii="Century Gothic" w:eastAsia="Century Gothic" w:hAnsi="Century Gothic" w:cs="Century Gothic"/>
          <w:sz w:val="20"/>
          <w:szCs w:val="20"/>
        </w:rPr>
        <w:t>promover</w:t>
      </w:r>
      <w:r>
        <w:rPr>
          <w:rFonts w:ascii="Century Gothic" w:eastAsia="Century Gothic" w:hAnsi="Century Gothic" w:cs="Century Gothic"/>
          <w:color w:val="000000"/>
          <w:sz w:val="20"/>
          <w:szCs w:val="20"/>
        </w:rPr>
        <w:t xml:space="preserve"> la eficiencia de combustible, al tiempo que equipa estos aviones con neumáticos de tren de aterrizaje más ligeros y de alto rendimiento.  </w:t>
      </w:r>
    </w:p>
    <w:p w14:paraId="53D22D5A"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 xml:space="preserve">Sin perder </w:t>
      </w:r>
      <w:r>
        <w:rPr>
          <w:rFonts w:ascii="Century Gothic" w:eastAsia="Century Gothic" w:hAnsi="Century Gothic" w:cs="Century Gothic"/>
          <w:color w:val="000000"/>
          <w:sz w:val="20"/>
          <w:szCs w:val="20"/>
        </w:rPr>
        <w:t xml:space="preserve">de vista las tecnologías del futuro para descarbonizar </w:t>
      </w:r>
      <w:r>
        <w:rPr>
          <w:rFonts w:ascii="Century Gothic" w:eastAsia="Century Gothic" w:hAnsi="Century Gothic" w:cs="Century Gothic"/>
          <w:sz w:val="20"/>
          <w:szCs w:val="20"/>
        </w:rPr>
        <w:t>la</w:t>
      </w:r>
      <w:r>
        <w:rPr>
          <w:rFonts w:ascii="Century Gothic" w:eastAsia="Century Gothic" w:hAnsi="Century Gothic" w:cs="Century Gothic"/>
          <w:color w:val="000000"/>
          <w:sz w:val="20"/>
          <w:szCs w:val="20"/>
        </w:rPr>
        <w:t xml:space="preserve"> industria a</w:t>
      </w:r>
      <w:r>
        <w:rPr>
          <w:rFonts w:ascii="Century Gothic" w:eastAsia="Century Gothic" w:hAnsi="Century Gothic" w:cs="Century Gothic"/>
          <w:sz w:val="20"/>
          <w:szCs w:val="20"/>
        </w:rPr>
        <w:t>érea</w:t>
      </w:r>
      <w:r>
        <w:rPr>
          <w:rFonts w:ascii="Century Gothic" w:eastAsia="Century Gothic" w:hAnsi="Century Gothic" w:cs="Century Gothic"/>
          <w:color w:val="000000"/>
          <w:sz w:val="20"/>
          <w:szCs w:val="20"/>
        </w:rPr>
        <w:t xml:space="preserve">, en 2023 </w:t>
      </w:r>
      <w:r>
        <w:rPr>
          <w:rFonts w:ascii="Century Gothic" w:eastAsia="Century Gothic" w:hAnsi="Century Gothic" w:cs="Century Gothic"/>
          <w:sz w:val="20"/>
          <w:szCs w:val="20"/>
        </w:rPr>
        <w:t>Delta se fijó</w:t>
      </w:r>
      <w:r>
        <w:rPr>
          <w:rFonts w:ascii="Century Gothic" w:eastAsia="Century Gothic" w:hAnsi="Century Gothic" w:cs="Century Gothic"/>
          <w:color w:val="000000"/>
          <w:sz w:val="20"/>
          <w:szCs w:val="20"/>
        </w:rPr>
        <w:t xml:space="preserve"> el objetivo de conseguir cinco asociaciones con empresas tecnológicas revolucionarias para 2025, y va por buen camino. En 2024, </w:t>
      </w:r>
      <w:r>
        <w:rPr>
          <w:rFonts w:ascii="Century Gothic" w:eastAsia="Century Gothic" w:hAnsi="Century Gothic" w:cs="Century Gothic"/>
          <w:sz w:val="20"/>
          <w:szCs w:val="20"/>
        </w:rPr>
        <w:t>seguirá</w:t>
      </w:r>
      <w:r>
        <w:rPr>
          <w:rFonts w:ascii="Century Gothic" w:eastAsia="Century Gothic" w:hAnsi="Century Gothic" w:cs="Century Gothic"/>
          <w:color w:val="000000"/>
          <w:sz w:val="20"/>
          <w:szCs w:val="20"/>
        </w:rPr>
        <w:t xml:space="preserve"> consolidando </w:t>
      </w:r>
      <w:r>
        <w:rPr>
          <w:rFonts w:ascii="Century Gothic" w:eastAsia="Century Gothic" w:hAnsi="Century Gothic" w:cs="Century Gothic"/>
          <w:sz w:val="20"/>
          <w:szCs w:val="20"/>
        </w:rPr>
        <w:t>sus</w:t>
      </w:r>
      <w:r>
        <w:rPr>
          <w:rFonts w:ascii="Century Gothic" w:eastAsia="Century Gothic" w:hAnsi="Century Gothic" w:cs="Century Gothic"/>
          <w:color w:val="000000"/>
          <w:sz w:val="20"/>
          <w:szCs w:val="20"/>
        </w:rPr>
        <w:t xml:space="preserve"> alianzas con Airbus y Boeing para </w:t>
      </w:r>
      <w:r>
        <w:rPr>
          <w:rFonts w:ascii="Century Gothic" w:eastAsia="Century Gothic" w:hAnsi="Century Gothic" w:cs="Century Gothic"/>
          <w:sz w:val="20"/>
          <w:szCs w:val="20"/>
        </w:rPr>
        <w:t>fomentar</w:t>
      </w:r>
      <w:r>
        <w:rPr>
          <w:rFonts w:ascii="Century Gothic" w:eastAsia="Century Gothic" w:hAnsi="Century Gothic" w:cs="Century Gothic"/>
          <w:color w:val="000000"/>
          <w:sz w:val="20"/>
          <w:szCs w:val="20"/>
        </w:rPr>
        <w:t xml:space="preserve"> el desarrollo de fuselajes más eficientes en el consumo de combustible, con la ambición de contar con aviones totalmente sostenibles impulsados por una tecnología revolucionaria en 2050. </w:t>
      </w:r>
    </w:p>
    <w:p w14:paraId="4122B9E0"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 xml:space="preserve">Cómo volamos </w:t>
      </w:r>
    </w:p>
    <w:p w14:paraId="6C419A98" w14:textId="1DCE9053"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Un vuelo más inteligente y eficiente reduce el consumo de combustible y las emisiones correspondientes. En 2023, Delta ahorró un total acumulado de 21 millones de galones </w:t>
      </w:r>
      <w:r>
        <w:rPr>
          <w:rFonts w:ascii="Century Gothic" w:eastAsia="Century Gothic" w:hAnsi="Century Gothic" w:cs="Century Gothic"/>
          <w:sz w:val="20"/>
          <w:szCs w:val="20"/>
        </w:rPr>
        <w:t>(unos 80 millones de litros)</w:t>
      </w:r>
      <w:r>
        <w:rPr>
          <w:rFonts w:ascii="Century Gothic" w:eastAsia="Century Gothic" w:hAnsi="Century Gothic" w:cs="Century Gothic"/>
          <w:color w:val="000000"/>
          <w:sz w:val="20"/>
          <w:szCs w:val="20"/>
        </w:rPr>
        <w:t xml:space="preserve"> de combustible gracias a las mejoras operativas impulsadas por el Consejo de Carbono </w:t>
      </w:r>
      <w:proofErr w:type="spellStart"/>
      <w:r>
        <w:rPr>
          <w:rFonts w:ascii="Century Gothic" w:eastAsia="Century Gothic" w:hAnsi="Century Gothic" w:cs="Century Gothic"/>
          <w:color w:val="000000"/>
          <w:sz w:val="20"/>
          <w:szCs w:val="20"/>
        </w:rPr>
        <w:t>interdivisional</w:t>
      </w:r>
      <w:proofErr w:type="spellEnd"/>
      <w:r>
        <w:rPr>
          <w:rFonts w:ascii="Century Gothic" w:eastAsia="Century Gothic" w:hAnsi="Century Gothic" w:cs="Century Gothic"/>
          <w:color w:val="000000"/>
          <w:sz w:val="20"/>
          <w:szCs w:val="20"/>
        </w:rPr>
        <w:t xml:space="preserve"> de Delta. Este ahorro de combustible procede de innovaciones iniciadas por Delta, como la reducción de peso, la mejora de las rutas y la mejora de los procedimientos de aterrizaje. </w:t>
      </w:r>
      <w:r>
        <w:rPr>
          <w:rFonts w:ascii="Century Gothic" w:eastAsia="Century Gothic" w:hAnsi="Century Gothic" w:cs="Century Gothic"/>
          <w:sz w:val="20"/>
          <w:szCs w:val="20"/>
        </w:rPr>
        <w:t>A raíz del</w:t>
      </w:r>
      <w:r>
        <w:rPr>
          <w:rFonts w:ascii="Century Gothic" w:eastAsia="Century Gothic" w:hAnsi="Century Gothic" w:cs="Century Gothic"/>
          <w:color w:val="000000"/>
          <w:sz w:val="20"/>
          <w:szCs w:val="20"/>
        </w:rPr>
        <w:t xml:space="preserve"> ambicioso objetivo de ahorrar 45 millones de galones de combustible de aquí a 2025,</w:t>
      </w:r>
      <w:r>
        <w:rPr>
          <w:rFonts w:ascii="Century Gothic" w:eastAsia="Century Gothic" w:hAnsi="Century Gothic" w:cs="Century Gothic"/>
          <w:sz w:val="20"/>
          <w:szCs w:val="20"/>
        </w:rPr>
        <w:t xml:space="preserve"> la aerolínea</w:t>
      </w:r>
      <w:r>
        <w:rPr>
          <w:rFonts w:ascii="Century Gothic" w:eastAsia="Century Gothic" w:hAnsi="Century Gothic" w:cs="Century Gothic"/>
          <w:color w:val="000000"/>
          <w:sz w:val="20"/>
          <w:szCs w:val="20"/>
        </w:rPr>
        <w:t xml:space="preserve"> </w:t>
      </w:r>
      <w:r>
        <w:rPr>
          <w:rFonts w:ascii="Century Gothic" w:eastAsia="Century Gothic" w:hAnsi="Century Gothic" w:cs="Century Gothic"/>
          <w:sz w:val="20"/>
          <w:szCs w:val="20"/>
        </w:rPr>
        <w:t>seguirá</w:t>
      </w:r>
      <w:r>
        <w:rPr>
          <w:rFonts w:ascii="Century Gothic" w:eastAsia="Century Gothic" w:hAnsi="Century Gothic" w:cs="Century Gothic"/>
          <w:color w:val="000000"/>
          <w:sz w:val="20"/>
          <w:szCs w:val="20"/>
        </w:rPr>
        <w:t xml:space="preserve"> identificando áreas en las que </w:t>
      </w:r>
      <w:r>
        <w:rPr>
          <w:rFonts w:ascii="Century Gothic" w:eastAsia="Century Gothic" w:hAnsi="Century Gothic" w:cs="Century Gothic"/>
          <w:sz w:val="20"/>
          <w:szCs w:val="20"/>
        </w:rPr>
        <w:t>pueda</w:t>
      </w:r>
      <w:r>
        <w:rPr>
          <w:rFonts w:ascii="Century Gothic" w:eastAsia="Century Gothic" w:hAnsi="Century Gothic" w:cs="Century Gothic"/>
          <w:color w:val="000000"/>
          <w:sz w:val="20"/>
          <w:szCs w:val="20"/>
        </w:rPr>
        <w:t xml:space="preserve"> mejorar la eficiencia del combustible el año que viene. </w:t>
      </w:r>
    </w:p>
    <w:p w14:paraId="2BD4995A"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También </w:t>
      </w:r>
      <w:r>
        <w:rPr>
          <w:rFonts w:ascii="Century Gothic" w:eastAsia="Century Gothic" w:hAnsi="Century Gothic" w:cs="Century Gothic"/>
          <w:sz w:val="20"/>
          <w:szCs w:val="20"/>
        </w:rPr>
        <w:t>está</w:t>
      </w:r>
      <w:r>
        <w:rPr>
          <w:rFonts w:ascii="Century Gothic" w:eastAsia="Century Gothic" w:hAnsi="Century Gothic" w:cs="Century Gothic"/>
          <w:color w:val="000000"/>
          <w:sz w:val="20"/>
          <w:szCs w:val="20"/>
        </w:rPr>
        <w:t xml:space="preserve"> trabajando en todas </w:t>
      </w:r>
      <w:r>
        <w:rPr>
          <w:rFonts w:ascii="Century Gothic" w:eastAsia="Century Gothic" w:hAnsi="Century Gothic" w:cs="Century Gothic"/>
          <w:sz w:val="20"/>
          <w:szCs w:val="20"/>
        </w:rPr>
        <w:t>sus</w:t>
      </w:r>
      <w:r>
        <w:rPr>
          <w:rFonts w:ascii="Century Gothic" w:eastAsia="Century Gothic" w:hAnsi="Century Gothic" w:cs="Century Gothic"/>
          <w:color w:val="000000"/>
          <w:sz w:val="20"/>
          <w:szCs w:val="20"/>
        </w:rPr>
        <w:t xml:space="preserve"> operaciones para optimizar el peso a bordo de </w:t>
      </w:r>
      <w:r>
        <w:rPr>
          <w:rFonts w:ascii="Century Gothic" w:eastAsia="Century Gothic" w:hAnsi="Century Gothic" w:cs="Century Gothic"/>
          <w:sz w:val="20"/>
          <w:szCs w:val="20"/>
        </w:rPr>
        <w:t>los</w:t>
      </w:r>
      <w:r>
        <w:rPr>
          <w:rFonts w:ascii="Century Gothic" w:eastAsia="Century Gothic" w:hAnsi="Century Gothic" w:cs="Century Gothic"/>
          <w:color w:val="000000"/>
          <w:sz w:val="20"/>
          <w:szCs w:val="20"/>
        </w:rPr>
        <w:t xml:space="preserve"> aviones y reducir los residuos. Probando soluciones a bordo, como tazas más sostenibles, niveles de agua potable más eficientes y un aprovisionamiento eficiente del catering, </w:t>
      </w:r>
      <w:r>
        <w:rPr>
          <w:rFonts w:ascii="Century Gothic" w:eastAsia="Century Gothic" w:hAnsi="Century Gothic" w:cs="Century Gothic"/>
          <w:sz w:val="20"/>
          <w:szCs w:val="20"/>
        </w:rPr>
        <w:t>Delta pone el foco en</w:t>
      </w:r>
      <w:r>
        <w:rPr>
          <w:rFonts w:ascii="Century Gothic" w:eastAsia="Century Gothic" w:hAnsi="Century Gothic" w:cs="Century Gothic"/>
          <w:color w:val="000000"/>
          <w:sz w:val="20"/>
          <w:szCs w:val="20"/>
        </w:rPr>
        <w:t xml:space="preserve"> ofrecer una experiencia de viaje más sostenible y elevada a la vez que </w:t>
      </w:r>
      <w:r>
        <w:rPr>
          <w:rFonts w:ascii="Century Gothic" w:eastAsia="Century Gothic" w:hAnsi="Century Gothic" w:cs="Century Gothic"/>
          <w:sz w:val="20"/>
          <w:szCs w:val="20"/>
        </w:rPr>
        <w:t>reduce</w:t>
      </w:r>
      <w:r>
        <w:rPr>
          <w:rFonts w:ascii="Century Gothic" w:eastAsia="Century Gothic" w:hAnsi="Century Gothic" w:cs="Century Gothic"/>
          <w:color w:val="000000"/>
          <w:sz w:val="20"/>
          <w:szCs w:val="20"/>
        </w:rPr>
        <w:t xml:space="preserve"> los residuos y las emisiones.</w:t>
      </w:r>
    </w:p>
    <w:p w14:paraId="160BED56"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 xml:space="preserve">El combustible que utilizamos para llegar hasta allí </w:t>
      </w:r>
    </w:p>
    <w:p w14:paraId="629CB556"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Más del 90 % de la huella de carbono de nuestra </w:t>
      </w:r>
      <w:r>
        <w:rPr>
          <w:rFonts w:ascii="Century Gothic" w:eastAsia="Century Gothic" w:hAnsi="Century Gothic" w:cs="Century Gothic"/>
          <w:sz w:val="20"/>
          <w:szCs w:val="20"/>
        </w:rPr>
        <w:t>compañía</w:t>
      </w:r>
      <w:r>
        <w:rPr>
          <w:rFonts w:ascii="Century Gothic" w:eastAsia="Century Gothic" w:hAnsi="Century Gothic" w:cs="Century Gothic"/>
          <w:color w:val="000000"/>
          <w:sz w:val="20"/>
          <w:szCs w:val="20"/>
        </w:rPr>
        <w:t xml:space="preserve"> procede del combustible para aviones. ¿Y si pudiéramos utilizar una nueva fuente de combustible y, al mismo tiempo, conseguir un futuro más sostenible? </w:t>
      </w:r>
    </w:p>
    <w:p w14:paraId="30E58DD1" w14:textId="18837D5F"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El combustible de aviación sostenible (o SAF, como se le conoce comúnmente</w:t>
      </w:r>
      <w:r>
        <w:rPr>
          <w:rFonts w:ascii="Century Gothic" w:eastAsia="Century Gothic" w:hAnsi="Century Gothic" w:cs="Century Gothic"/>
          <w:sz w:val="20"/>
          <w:szCs w:val="20"/>
        </w:rPr>
        <w:t>)</w:t>
      </w:r>
      <w:r w:rsidR="00F41093">
        <w:rPr>
          <w:rFonts w:ascii="Century Gothic" w:eastAsia="Century Gothic" w:hAnsi="Century Gothic" w:cs="Century Gothic"/>
          <w:sz w:val="20"/>
          <w:szCs w:val="20"/>
        </w:rPr>
        <w:t xml:space="preserve"> </w:t>
      </w:r>
      <w:r>
        <w:rPr>
          <w:rFonts w:ascii="Century Gothic" w:eastAsia="Century Gothic" w:hAnsi="Century Gothic" w:cs="Century Gothic"/>
          <w:color w:val="000000"/>
          <w:sz w:val="20"/>
          <w:szCs w:val="20"/>
        </w:rPr>
        <w:t xml:space="preserve">es la mayor palanca a corto plazo que tiene la industria para lograr </w:t>
      </w:r>
      <w:r>
        <w:rPr>
          <w:rFonts w:ascii="Century Gothic" w:eastAsia="Century Gothic" w:hAnsi="Century Gothic" w:cs="Century Gothic"/>
          <w:sz w:val="20"/>
          <w:szCs w:val="20"/>
        </w:rPr>
        <w:t>los objetivos</w:t>
      </w:r>
      <w:r>
        <w:rPr>
          <w:rFonts w:ascii="Century Gothic" w:eastAsia="Century Gothic" w:hAnsi="Century Gothic" w:cs="Century Gothic"/>
          <w:color w:val="000000"/>
          <w:sz w:val="20"/>
          <w:szCs w:val="20"/>
        </w:rPr>
        <w:t xml:space="preserve"> de descarbonización. Los mayores retos: no se produce suficiente combustible al año para abastecer a las aerolíneas comerciales del mundo durante un solo día, y el SAF es entre dos y cuatro veces más caro que el combustible convencional para aviones.  </w:t>
      </w:r>
    </w:p>
    <w:p w14:paraId="717E6224" w14:textId="0988001C"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lastRenderedPageBreak/>
        <w:t xml:space="preserve">Delta se ha fijado el ambicioso objetivo de utilizar un 10 % de SAF en sus vuelos para finales de 2030. Pero no </w:t>
      </w:r>
      <w:r>
        <w:rPr>
          <w:rFonts w:ascii="Century Gothic" w:eastAsia="Century Gothic" w:hAnsi="Century Gothic" w:cs="Century Gothic"/>
          <w:sz w:val="20"/>
          <w:szCs w:val="20"/>
        </w:rPr>
        <w:t>lo puede hacer sola</w:t>
      </w:r>
      <w:r>
        <w:rPr>
          <w:rFonts w:ascii="Century Gothic" w:eastAsia="Century Gothic" w:hAnsi="Century Gothic" w:cs="Century Gothic"/>
          <w:color w:val="000000"/>
          <w:sz w:val="20"/>
          <w:szCs w:val="20"/>
        </w:rPr>
        <w:t xml:space="preserve">: es necesario que los </w:t>
      </w:r>
      <w:r w:rsidR="00F41093">
        <w:rPr>
          <w:rFonts w:ascii="Century Gothic" w:eastAsia="Century Gothic" w:hAnsi="Century Gothic" w:cs="Century Gothic"/>
          <w:color w:val="000000"/>
          <w:sz w:val="20"/>
          <w:szCs w:val="20"/>
        </w:rPr>
        <w:t>gobiernos federales</w:t>
      </w:r>
      <w:r>
        <w:rPr>
          <w:rFonts w:ascii="Century Gothic" w:eastAsia="Century Gothic" w:hAnsi="Century Gothic" w:cs="Century Gothic"/>
          <w:color w:val="000000"/>
          <w:sz w:val="20"/>
          <w:szCs w:val="20"/>
        </w:rPr>
        <w:t>, estatales y locales igualen las condiciones promoviendo y manteniendo el mismo tipo de políticas de incentivos que impulsaron la electrificación de la industria automovilística. El gobierno federal ya ha dado un primer paso importante al promover los primeros incentivos SA</w:t>
      </w:r>
      <w:r>
        <w:rPr>
          <w:rFonts w:ascii="Century Gothic" w:eastAsia="Century Gothic" w:hAnsi="Century Gothic" w:cs="Century Gothic"/>
          <w:sz w:val="20"/>
          <w:szCs w:val="20"/>
        </w:rPr>
        <w:t>F</w:t>
      </w:r>
      <w:r>
        <w:rPr>
          <w:rFonts w:ascii="Century Gothic" w:eastAsia="Century Gothic" w:hAnsi="Century Gothic" w:cs="Century Gothic"/>
          <w:color w:val="000000"/>
          <w:sz w:val="20"/>
          <w:szCs w:val="20"/>
        </w:rPr>
        <w:t xml:space="preserve"> del mundo y varios estados (entre ellos, Illinois, Washington y Minnesota) han seguido su ejemplo, mientras que otros están sopesando nuevas políticas. </w:t>
      </w:r>
    </w:p>
    <w:p w14:paraId="1887E967" w14:textId="536C0665"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Delta también está actuando </w:t>
      </w:r>
      <w:r>
        <w:rPr>
          <w:rFonts w:ascii="Century Gothic" w:eastAsia="Century Gothic" w:hAnsi="Century Gothic" w:cs="Century Gothic"/>
          <w:sz w:val="20"/>
          <w:szCs w:val="20"/>
        </w:rPr>
        <w:t xml:space="preserve">mediante la creación </w:t>
      </w:r>
      <w:r w:rsidR="00F41093">
        <w:rPr>
          <w:rFonts w:ascii="Century Gothic" w:eastAsia="Century Gothic" w:hAnsi="Century Gothic" w:cs="Century Gothic"/>
          <w:sz w:val="20"/>
          <w:szCs w:val="20"/>
        </w:rPr>
        <w:t xml:space="preserve">de </w:t>
      </w:r>
      <w:r w:rsidR="00F41093">
        <w:rPr>
          <w:rFonts w:ascii="Century Gothic" w:eastAsia="Century Gothic" w:hAnsi="Century Gothic" w:cs="Century Gothic"/>
          <w:color w:val="000000"/>
          <w:sz w:val="20"/>
          <w:szCs w:val="20"/>
        </w:rPr>
        <w:t>coaliciones</w:t>
      </w:r>
      <w:r>
        <w:rPr>
          <w:rFonts w:ascii="Century Gothic" w:eastAsia="Century Gothic" w:hAnsi="Century Gothic" w:cs="Century Gothic"/>
          <w:color w:val="000000"/>
          <w:sz w:val="20"/>
          <w:szCs w:val="20"/>
        </w:rPr>
        <w:t xml:space="preserve"> y asociaciones en </w:t>
      </w:r>
      <w:r>
        <w:rPr>
          <w:rFonts w:ascii="Century Gothic" w:eastAsia="Century Gothic" w:hAnsi="Century Gothic" w:cs="Century Gothic"/>
          <w:sz w:val="20"/>
          <w:szCs w:val="20"/>
        </w:rPr>
        <w:t>el</w:t>
      </w:r>
      <w:r>
        <w:rPr>
          <w:rFonts w:ascii="Century Gothic" w:eastAsia="Century Gothic" w:hAnsi="Century Gothic" w:cs="Century Gothic"/>
          <w:color w:val="000000"/>
          <w:sz w:val="20"/>
          <w:szCs w:val="20"/>
        </w:rPr>
        <w:t xml:space="preserve"> sector a</w:t>
      </w:r>
      <w:r>
        <w:rPr>
          <w:rFonts w:ascii="Century Gothic" w:eastAsia="Century Gothic" w:hAnsi="Century Gothic" w:cs="Century Gothic"/>
          <w:sz w:val="20"/>
          <w:szCs w:val="20"/>
        </w:rPr>
        <w:t xml:space="preserve">éreo </w:t>
      </w:r>
      <w:r>
        <w:rPr>
          <w:rFonts w:ascii="Century Gothic" w:eastAsia="Century Gothic" w:hAnsi="Century Gothic" w:cs="Century Gothic"/>
          <w:color w:val="000000"/>
          <w:sz w:val="20"/>
          <w:szCs w:val="20"/>
        </w:rPr>
        <w:t xml:space="preserve">y fuera de él. El año pasado </w:t>
      </w:r>
      <w:r>
        <w:rPr>
          <w:rFonts w:ascii="Century Gothic" w:eastAsia="Century Gothic" w:hAnsi="Century Gothic" w:cs="Century Gothic"/>
          <w:sz w:val="20"/>
          <w:szCs w:val="20"/>
        </w:rPr>
        <w:t>puso</w:t>
      </w:r>
      <w:r>
        <w:rPr>
          <w:rFonts w:ascii="Century Gothic" w:eastAsia="Century Gothic" w:hAnsi="Century Gothic" w:cs="Century Gothic"/>
          <w:color w:val="000000"/>
          <w:sz w:val="20"/>
          <w:szCs w:val="20"/>
        </w:rPr>
        <w:t xml:space="preserve"> en marcha el primer SAF </w:t>
      </w:r>
      <w:proofErr w:type="gramStart"/>
      <w:r>
        <w:rPr>
          <w:rFonts w:ascii="Century Gothic" w:eastAsia="Century Gothic" w:hAnsi="Century Gothic" w:cs="Century Gothic"/>
          <w:color w:val="000000"/>
          <w:sz w:val="20"/>
          <w:szCs w:val="20"/>
        </w:rPr>
        <w:t>Hub</w:t>
      </w:r>
      <w:proofErr w:type="gramEnd"/>
      <w:r>
        <w:rPr>
          <w:rFonts w:ascii="Century Gothic" w:eastAsia="Century Gothic" w:hAnsi="Century Gothic" w:cs="Century Gothic"/>
          <w:color w:val="000000"/>
          <w:sz w:val="20"/>
          <w:szCs w:val="20"/>
        </w:rPr>
        <w:t xml:space="preserve"> de Minnesota como miembro </w:t>
      </w:r>
      <w:r>
        <w:rPr>
          <w:rFonts w:ascii="Century Gothic" w:eastAsia="Century Gothic" w:hAnsi="Century Gothic" w:cs="Century Gothic"/>
          <w:sz w:val="20"/>
          <w:szCs w:val="20"/>
        </w:rPr>
        <w:t>clave</w:t>
      </w:r>
      <w:r>
        <w:rPr>
          <w:rFonts w:ascii="Century Gothic" w:eastAsia="Century Gothic" w:hAnsi="Century Gothic" w:cs="Century Gothic"/>
          <w:color w:val="000000"/>
          <w:sz w:val="20"/>
          <w:szCs w:val="20"/>
        </w:rPr>
        <w:t xml:space="preserve"> en coordinación con </w:t>
      </w:r>
      <w:proofErr w:type="spellStart"/>
      <w:r>
        <w:rPr>
          <w:rFonts w:ascii="Century Gothic" w:eastAsia="Century Gothic" w:hAnsi="Century Gothic" w:cs="Century Gothic"/>
          <w:color w:val="000000"/>
          <w:sz w:val="20"/>
          <w:szCs w:val="20"/>
        </w:rPr>
        <w:t>Greater</w:t>
      </w:r>
      <w:proofErr w:type="spellEnd"/>
      <w:r>
        <w:rPr>
          <w:rFonts w:ascii="Century Gothic" w:eastAsia="Century Gothic" w:hAnsi="Century Gothic" w:cs="Century Gothic"/>
          <w:color w:val="000000"/>
          <w:sz w:val="20"/>
          <w:szCs w:val="20"/>
        </w:rPr>
        <w:t xml:space="preserve"> MSP para colaborar en toda la cadena de valor del SAF con el fin de impulsar la inversión y la producción. También </w:t>
      </w:r>
      <w:r>
        <w:rPr>
          <w:rFonts w:ascii="Century Gothic" w:eastAsia="Century Gothic" w:hAnsi="Century Gothic" w:cs="Century Gothic"/>
          <w:sz w:val="20"/>
          <w:szCs w:val="20"/>
        </w:rPr>
        <w:t>es</w:t>
      </w:r>
      <w:r>
        <w:rPr>
          <w:rFonts w:ascii="Century Gothic" w:eastAsia="Century Gothic" w:hAnsi="Century Gothic" w:cs="Century Gothic"/>
          <w:color w:val="000000"/>
          <w:sz w:val="20"/>
          <w:szCs w:val="20"/>
        </w:rPr>
        <w:t xml:space="preserve"> </w:t>
      </w:r>
      <w:r w:rsidR="00F41093">
        <w:rPr>
          <w:rFonts w:ascii="Century Gothic" w:eastAsia="Century Gothic" w:hAnsi="Century Gothic" w:cs="Century Gothic"/>
          <w:color w:val="000000"/>
          <w:sz w:val="20"/>
          <w:szCs w:val="20"/>
        </w:rPr>
        <w:t>miembro fundador</w:t>
      </w:r>
      <w:r>
        <w:rPr>
          <w:rFonts w:ascii="Century Gothic" w:eastAsia="Century Gothic" w:hAnsi="Century Gothic" w:cs="Century Gothic"/>
          <w:color w:val="000000"/>
          <w:sz w:val="20"/>
          <w:szCs w:val="20"/>
        </w:rPr>
        <w:t xml:space="preserve"> de </w:t>
      </w:r>
      <w:proofErr w:type="spellStart"/>
      <w:r>
        <w:rPr>
          <w:rFonts w:ascii="Century Gothic" w:eastAsia="Century Gothic" w:hAnsi="Century Gothic" w:cs="Century Gothic"/>
          <w:color w:val="000000"/>
          <w:sz w:val="20"/>
          <w:szCs w:val="20"/>
        </w:rPr>
        <w:t>Americans</w:t>
      </w:r>
      <w:proofErr w:type="spellEnd"/>
      <w:r>
        <w:rPr>
          <w:rFonts w:ascii="Century Gothic" w:eastAsia="Century Gothic" w:hAnsi="Century Gothic" w:cs="Century Gothic"/>
          <w:color w:val="000000"/>
          <w:sz w:val="20"/>
          <w:szCs w:val="20"/>
        </w:rPr>
        <w:t xml:space="preserve"> </w:t>
      </w:r>
      <w:proofErr w:type="spellStart"/>
      <w:r>
        <w:rPr>
          <w:rFonts w:ascii="Century Gothic" w:eastAsia="Century Gothic" w:hAnsi="Century Gothic" w:cs="Century Gothic"/>
          <w:color w:val="000000"/>
          <w:sz w:val="20"/>
          <w:szCs w:val="20"/>
        </w:rPr>
        <w:t>for</w:t>
      </w:r>
      <w:proofErr w:type="spellEnd"/>
      <w:r>
        <w:rPr>
          <w:rFonts w:ascii="Century Gothic" w:eastAsia="Century Gothic" w:hAnsi="Century Gothic" w:cs="Century Gothic"/>
          <w:color w:val="000000"/>
          <w:sz w:val="20"/>
          <w:szCs w:val="20"/>
        </w:rPr>
        <w:t xml:space="preserve"> </w:t>
      </w:r>
      <w:proofErr w:type="spellStart"/>
      <w:r>
        <w:rPr>
          <w:rFonts w:ascii="Century Gothic" w:eastAsia="Century Gothic" w:hAnsi="Century Gothic" w:cs="Century Gothic"/>
          <w:color w:val="000000"/>
          <w:sz w:val="20"/>
          <w:szCs w:val="20"/>
        </w:rPr>
        <w:t>Clean</w:t>
      </w:r>
      <w:proofErr w:type="spellEnd"/>
      <w:r>
        <w:rPr>
          <w:rFonts w:ascii="Century Gothic" w:eastAsia="Century Gothic" w:hAnsi="Century Gothic" w:cs="Century Gothic"/>
          <w:color w:val="000000"/>
          <w:sz w:val="20"/>
          <w:szCs w:val="20"/>
        </w:rPr>
        <w:t xml:space="preserve"> </w:t>
      </w:r>
      <w:proofErr w:type="spellStart"/>
      <w:r>
        <w:rPr>
          <w:rFonts w:ascii="Century Gothic" w:eastAsia="Century Gothic" w:hAnsi="Century Gothic" w:cs="Century Gothic"/>
          <w:color w:val="000000"/>
          <w:sz w:val="20"/>
          <w:szCs w:val="20"/>
        </w:rPr>
        <w:t>Aviation</w:t>
      </w:r>
      <w:proofErr w:type="spellEnd"/>
      <w:r>
        <w:rPr>
          <w:rFonts w:ascii="Century Gothic" w:eastAsia="Century Gothic" w:hAnsi="Century Gothic" w:cs="Century Gothic"/>
          <w:color w:val="000000"/>
          <w:sz w:val="20"/>
          <w:szCs w:val="20"/>
        </w:rPr>
        <w:t xml:space="preserve"> </w:t>
      </w:r>
      <w:proofErr w:type="spellStart"/>
      <w:r>
        <w:rPr>
          <w:rFonts w:ascii="Century Gothic" w:eastAsia="Century Gothic" w:hAnsi="Century Gothic" w:cs="Century Gothic"/>
          <w:color w:val="000000"/>
          <w:sz w:val="20"/>
          <w:szCs w:val="20"/>
        </w:rPr>
        <w:t>Fuels</w:t>
      </w:r>
      <w:proofErr w:type="spellEnd"/>
      <w:r>
        <w:rPr>
          <w:rFonts w:ascii="Century Gothic" w:eastAsia="Century Gothic" w:hAnsi="Century Gothic" w:cs="Century Gothic"/>
          <w:color w:val="000000"/>
          <w:sz w:val="20"/>
          <w:szCs w:val="20"/>
        </w:rPr>
        <w:t xml:space="preserve">, la primera coalición nacional de SAF centrada en la promoción de los beneficios económicos de un sólido mercado nacional de SAF con el objetivo de impulsar políticas de SAF favorables. En 2024, Delta </w:t>
      </w:r>
      <w:r>
        <w:rPr>
          <w:rFonts w:ascii="Century Gothic" w:eastAsia="Century Gothic" w:hAnsi="Century Gothic" w:cs="Century Gothic"/>
          <w:sz w:val="20"/>
          <w:szCs w:val="20"/>
        </w:rPr>
        <w:t>seguirá trabajando con</w:t>
      </w:r>
      <w:r>
        <w:rPr>
          <w:rFonts w:ascii="Century Gothic" w:eastAsia="Century Gothic" w:hAnsi="Century Gothic" w:cs="Century Gothic"/>
          <w:color w:val="000000"/>
          <w:sz w:val="20"/>
          <w:szCs w:val="20"/>
        </w:rPr>
        <w:t xml:space="preserve"> el objetivo final de crear un mercado global en el que, de cara a 2</w:t>
      </w:r>
      <w:r>
        <w:rPr>
          <w:rFonts w:ascii="Century Gothic" w:eastAsia="Century Gothic" w:hAnsi="Century Gothic" w:cs="Century Gothic"/>
          <w:sz w:val="20"/>
          <w:szCs w:val="20"/>
        </w:rPr>
        <w:t>050,</w:t>
      </w:r>
      <w:r>
        <w:rPr>
          <w:rFonts w:ascii="Century Gothic" w:eastAsia="Century Gothic" w:hAnsi="Century Gothic" w:cs="Century Gothic"/>
          <w:color w:val="000000"/>
          <w:sz w:val="20"/>
          <w:szCs w:val="20"/>
        </w:rPr>
        <w:t xml:space="preserve"> la mayoría de </w:t>
      </w:r>
      <w:r>
        <w:rPr>
          <w:rFonts w:ascii="Century Gothic" w:eastAsia="Century Gothic" w:hAnsi="Century Gothic" w:cs="Century Gothic"/>
          <w:sz w:val="20"/>
          <w:szCs w:val="20"/>
        </w:rPr>
        <w:t>su</w:t>
      </w:r>
      <w:r>
        <w:rPr>
          <w:rFonts w:ascii="Century Gothic" w:eastAsia="Century Gothic" w:hAnsi="Century Gothic" w:cs="Century Gothic"/>
          <w:color w:val="000000"/>
          <w:sz w:val="20"/>
          <w:szCs w:val="20"/>
        </w:rPr>
        <w:t xml:space="preserve"> combustible proceda de SAF. </w:t>
      </w:r>
    </w:p>
    <w:p w14:paraId="3111E4AB"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 xml:space="preserve">2. Cada función tiene que ver con la sostenibilidad </w:t>
      </w:r>
    </w:p>
    <w:p w14:paraId="167E3C34"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El equipo de 100.000 personas de Delta es conocido por hacer bien las cosas difíciles. Es el poder de la</w:t>
      </w:r>
      <w:r>
        <w:rPr>
          <w:rFonts w:ascii="Century Gothic" w:eastAsia="Century Gothic" w:hAnsi="Century Gothic" w:cs="Century Gothic"/>
          <w:sz w:val="20"/>
          <w:szCs w:val="20"/>
        </w:rPr>
        <w:t xml:space="preserve">s personas que componen </w:t>
      </w:r>
      <w:r>
        <w:rPr>
          <w:rFonts w:ascii="Century Gothic" w:eastAsia="Century Gothic" w:hAnsi="Century Gothic" w:cs="Century Gothic"/>
          <w:color w:val="000000"/>
          <w:sz w:val="20"/>
          <w:szCs w:val="20"/>
        </w:rPr>
        <w:t xml:space="preserve">Delta lo que permite llevar a cabo las operaciones más fiables del sector y, al mismo tiempo, crear oportunidades para convertir pequeñas ideas personales en un gran impacto colectivo. Por eso se crearon los Consejos de Residuos y Carbono de Delta, que incluyen a representantes de todos los departamentos de la empresa. </w:t>
      </w:r>
      <w:r>
        <w:rPr>
          <w:rFonts w:ascii="Century Gothic" w:eastAsia="Century Gothic" w:hAnsi="Century Gothic" w:cs="Century Gothic"/>
          <w:sz w:val="20"/>
          <w:szCs w:val="20"/>
        </w:rPr>
        <w:t>Su</w:t>
      </w:r>
      <w:r>
        <w:rPr>
          <w:rFonts w:ascii="Century Gothic" w:eastAsia="Century Gothic" w:hAnsi="Century Gothic" w:cs="Century Gothic"/>
          <w:color w:val="000000"/>
          <w:sz w:val="20"/>
          <w:szCs w:val="20"/>
        </w:rPr>
        <w:t xml:space="preserve"> Consejo de Carbono ya ha ahorrado 21 millones de galones de combustible mediante mejoras operativas, mientras que </w:t>
      </w:r>
      <w:r>
        <w:rPr>
          <w:rFonts w:ascii="Century Gothic" w:eastAsia="Century Gothic" w:hAnsi="Century Gothic" w:cs="Century Gothic"/>
          <w:sz w:val="20"/>
          <w:szCs w:val="20"/>
        </w:rPr>
        <w:t>el</w:t>
      </w:r>
      <w:r>
        <w:rPr>
          <w:rFonts w:ascii="Century Gothic" w:eastAsia="Century Gothic" w:hAnsi="Century Gothic" w:cs="Century Gothic"/>
          <w:color w:val="000000"/>
          <w:sz w:val="20"/>
          <w:szCs w:val="20"/>
        </w:rPr>
        <w:t xml:space="preserve"> Consejo de Residuos ha comenzado a pilotar proyectos para comprender mejor el estado del reciclaje a bordo. </w:t>
      </w:r>
    </w:p>
    <w:p w14:paraId="03D866B1" w14:textId="65ADE4D3"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Los</w:t>
      </w:r>
      <w:r>
        <w:rPr>
          <w:rFonts w:ascii="Century Gothic" w:eastAsia="Century Gothic" w:hAnsi="Century Gothic" w:cs="Century Gothic"/>
          <w:color w:val="000000"/>
          <w:sz w:val="20"/>
          <w:szCs w:val="20"/>
        </w:rPr>
        <w:t xml:space="preserve"> BRG (del ingl</w:t>
      </w:r>
      <w:r>
        <w:rPr>
          <w:rFonts w:ascii="Century Gothic" w:eastAsia="Century Gothic" w:hAnsi="Century Gothic" w:cs="Century Gothic"/>
          <w:sz w:val="20"/>
          <w:szCs w:val="20"/>
        </w:rPr>
        <w:t xml:space="preserve">és, Business </w:t>
      </w:r>
      <w:proofErr w:type="spellStart"/>
      <w:r>
        <w:rPr>
          <w:rFonts w:ascii="Century Gothic" w:eastAsia="Century Gothic" w:hAnsi="Century Gothic" w:cs="Century Gothic"/>
          <w:sz w:val="20"/>
          <w:szCs w:val="20"/>
        </w:rPr>
        <w:t>Resource</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Groups</w:t>
      </w:r>
      <w:proofErr w:type="spellEnd"/>
      <w:r>
        <w:rPr>
          <w:rFonts w:ascii="Century Gothic" w:eastAsia="Century Gothic" w:hAnsi="Century Gothic" w:cs="Century Gothic"/>
          <w:sz w:val="20"/>
          <w:szCs w:val="20"/>
        </w:rPr>
        <w:t xml:space="preserve">) </w:t>
      </w:r>
      <w:r>
        <w:rPr>
          <w:rFonts w:ascii="Century Gothic" w:eastAsia="Century Gothic" w:hAnsi="Century Gothic" w:cs="Century Gothic"/>
          <w:color w:val="000000"/>
          <w:sz w:val="20"/>
          <w:szCs w:val="20"/>
        </w:rPr>
        <w:t xml:space="preserve">dirigidos por empleados también han desempeñado un papel clave en la integración del pensamiento de toda la empresa en </w:t>
      </w:r>
      <w:r>
        <w:rPr>
          <w:rFonts w:ascii="Century Gothic" w:eastAsia="Century Gothic" w:hAnsi="Century Gothic" w:cs="Century Gothic"/>
          <w:sz w:val="20"/>
          <w:szCs w:val="20"/>
        </w:rPr>
        <w:t>su</w:t>
      </w:r>
      <w:r>
        <w:rPr>
          <w:rFonts w:ascii="Century Gothic" w:eastAsia="Century Gothic" w:hAnsi="Century Gothic" w:cs="Century Gothic"/>
          <w:color w:val="000000"/>
          <w:sz w:val="20"/>
          <w:szCs w:val="20"/>
        </w:rPr>
        <w:t xml:space="preserve"> planificación estratégica. Con la pasi</w:t>
      </w:r>
      <w:r>
        <w:rPr>
          <w:rFonts w:ascii="Century Gothic" w:eastAsia="Century Gothic" w:hAnsi="Century Gothic" w:cs="Century Gothic"/>
          <w:sz w:val="20"/>
          <w:szCs w:val="20"/>
        </w:rPr>
        <w:t xml:space="preserve">ón y la experiencia características de los equipos de Delta, los </w:t>
      </w:r>
      <w:r>
        <w:rPr>
          <w:rFonts w:ascii="Century Gothic" w:eastAsia="Century Gothic" w:hAnsi="Century Gothic" w:cs="Century Gothic"/>
          <w:color w:val="000000"/>
          <w:sz w:val="20"/>
          <w:szCs w:val="20"/>
        </w:rPr>
        <w:t>4500 miembros de Green Up</w:t>
      </w:r>
      <w:r>
        <w:rPr>
          <w:rFonts w:ascii="Century Gothic" w:eastAsia="Century Gothic" w:hAnsi="Century Gothic" w:cs="Century Gothic"/>
          <w:sz w:val="20"/>
          <w:szCs w:val="20"/>
        </w:rPr>
        <w:t xml:space="preserve"> propusieron poner</w:t>
      </w:r>
      <w:r>
        <w:rPr>
          <w:rFonts w:ascii="Century Gothic" w:eastAsia="Century Gothic" w:hAnsi="Century Gothic" w:cs="Century Gothic"/>
          <w:color w:val="000000"/>
          <w:sz w:val="20"/>
          <w:szCs w:val="20"/>
        </w:rPr>
        <w:t xml:space="preserve"> a prueba el modo de ahorro de energía nocturno de </w:t>
      </w:r>
      <w:r w:rsidR="00F41093">
        <w:rPr>
          <w:rFonts w:ascii="Century Gothic" w:eastAsia="Century Gothic" w:hAnsi="Century Gothic" w:cs="Century Gothic"/>
          <w:sz w:val="20"/>
          <w:szCs w:val="20"/>
        </w:rPr>
        <w:t xml:space="preserve">los </w:t>
      </w:r>
      <w:r w:rsidR="00F41093">
        <w:rPr>
          <w:rFonts w:ascii="Century Gothic" w:eastAsia="Century Gothic" w:hAnsi="Century Gothic" w:cs="Century Gothic"/>
          <w:color w:val="000000"/>
          <w:sz w:val="20"/>
          <w:szCs w:val="20"/>
        </w:rPr>
        <w:t>kioscos</w:t>
      </w:r>
      <w:r>
        <w:rPr>
          <w:rFonts w:ascii="Century Gothic" w:eastAsia="Century Gothic" w:hAnsi="Century Gothic" w:cs="Century Gothic"/>
          <w:color w:val="000000"/>
          <w:sz w:val="20"/>
          <w:szCs w:val="20"/>
        </w:rPr>
        <w:t xml:space="preserve"> de facturación, que ahora se ha extendido a toda la empresa. También </w:t>
      </w:r>
      <w:r>
        <w:rPr>
          <w:rFonts w:ascii="Century Gothic" w:eastAsia="Century Gothic" w:hAnsi="Century Gothic" w:cs="Century Gothic"/>
          <w:sz w:val="20"/>
          <w:szCs w:val="20"/>
        </w:rPr>
        <w:t xml:space="preserve">se organizan </w:t>
      </w:r>
      <w:r>
        <w:rPr>
          <w:rFonts w:ascii="Century Gothic" w:eastAsia="Century Gothic" w:hAnsi="Century Gothic" w:cs="Century Gothic"/>
          <w:color w:val="000000"/>
          <w:sz w:val="20"/>
          <w:szCs w:val="20"/>
        </w:rPr>
        <w:t xml:space="preserve">retos de innovación anuales en los que los empleados de toda la organización se unen para crear y presentar ideas al equipo directivo que ayuden a hacer que Delta sea más sostenible, algunas de las cuales acaban implantándose en las operaciones. </w:t>
      </w:r>
    </w:p>
    <w:p w14:paraId="1FE858F0"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lastRenderedPageBreak/>
        <w:t>3. La colaboración es clave</w:t>
      </w:r>
    </w:p>
    <w:p w14:paraId="2FA8B15A" w14:textId="5B6862DA"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Descarbonizar </w:t>
      </w:r>
      <w:r>
        <w:rPr>
          <w:rFonts w:ascii="Century Gothic" w:eastAsia="Century Gothic" w:hAnsi="Century Gothic" w:cs="Century Gothic"/>
          <w:sz w:val="20"/>
          <w:szCs w:val="20"/>
        </w:rPr>
        <w:t xml:space="preserve">las operaciones de </w:t>
      </w:r>
      <w:r w:rsidR="00F41093">
        <w:rPr>
          <w:rFonts w:ascii="Century Gothic" w:eastAsia="Century Gothic" w:hAnsi="Century Gothic" w:cs="Century Gothic"/>
          <w:sz w:val="20"/>
          <w:szCs w:val="20"/>
        </w:rPr>
        <w:t xml:space="preserve">Delta </w:t>
      </w:r>
      <w:r w:rsidR="00F41093">
        <w:rPr>
          <w:rFonts w:ascii="Century Gothic" w:eastAsia="Century Gothic" w:hAnsi="Century Gothic" w:cs="Century Gothic"/>
          <w:color w:val="000000"/>
          <w:sz w:val="20"/>
          <w:szCs w:val="20"/>
        </w:rPr>
        <w:t>y</w:t>
      </w:r>
      <w:r>
        <w:rPr>
          <w:rFonts w:ascii="Century Gothic" w:eastAsia="Century Gothic" w:hAnsi="Century Gothic" w:cs="Century Gothic"/>
          <w:color w:val="000000"/>
          <w:sz w:val="20"/>
          <w:szCs w:val="20"/>
        </w:rPr>
        <w:t xml:space="preserve"> </w:t>
      </w:r>
      <w:r>
        <w:rPr>
          <w:rFonts w:ascii="Century Gothic" w:eastAsia="Century Gothic" w:hAnsi="Century Gothic" w:cs="Century Gothic"/>
          <w:sz w:val="20"/>
          <w:szCs w:val="20"/>
        </w:rPr>
        <w:t>la</w:t>
      </w:r>
      <w:r>
        <w:rPr>
          <w:rFonts w:ascii="Century Gothic" w:eastAsia="Century Gothic" w:hAnsi="Century Gothic" w:cs="Century Gothic"/>
          <w:color w:val="000000"/>
          <w:sz w:val="20"/>
          <w:szCs w:val="20"/>
        </w:rPr>
        <w:t xml:space="preserve"> industria a</w:t>
      </w:r>
      <w:r>
        <w:rPr>
          <w:rFonts w:ascii="Century Gothic" w:eastAsia="Century Gothic" w:hAnsi="Century Gothic" w:cs="Century Gothic"/>
          <w:sz w:val="20"/>
          <w:szCs w:val="20"/>
        </w:rPr>
        <w:t>érea</w:t>
      </w:r>
      <w:r>
        <w:rPr>
          <w:rFonts w:ascii="Century Gothic" w:eastAsia="Century Gothic" w:hAnsi="Century Gothic" w:cs="Century Gothic"/>
          <w:color w:val="000000"/>
          <w:sz w:val="20"/>
          <w:szCs w:val="20"/>
        </w:rPr>
        <w:t xml:space="preserve"> es una tarea compleja. </w:t>
      </w:r>
      <w:proofErr w:type="spellStart"/>
      <w:r>
        <w:rPr>
          <w:rFonts w:ascii="Century Gothic" w:eastAsia="Century Gothic" w:hAnsi="Century Gothic" w:cs="Century Gothic"/>
          <w:sz w:val="20"/>
          <w:szCs w:val="20"/>
        </w:rPr>
        <w:t>DeLuca</w:t>
      </w:r>
      <w:proofErr w:type="spellEnd"/>
      <w:r>
        <w:rPr>
          <w:rFonts w:ascii="Century Gothic" w:eastAsia="Century Gothic" w:hAnsi="Century Gothic" w:cs="Century Gothic"/>
          <w:sz w:val="20"/>
          <w:szCs w:val="20"/>
        </w:rPr>
        <w:t xml:space="preserve"> insiste:</w:t>
      </w:r>
      <w:r>
        <w:rPr>
          <w:rFonts w:ascii="Century Gothic" w:eastAsia="Century Gothic" w:hAnsi="Century Gothic" w:cs="Century Gothic"/>
          <w:color w:val="000000"/>
          <w:sz w:val="20"/>
          <w:szCs w:val="20"/>
        </w:rPr>
        <w:t xml:space="preserve"> </w:t>
      </w:r>
      <w:r>
        <w:rPr>
          <w:rFonts w:ascii="Century Gothic" w:eastAsia="Century Gothic" w:hAnsi="Century Gothic" w:cs="Century Gothic"/>
          <w:sz w:val="20"/>
          <w:szCs w:val="20"/>
        </w:rPr>
        <w:t>“Luchar contra</w:t>
      </w:r>
      <w:r>
        <w:rPr>
          <w:rFonts w:ascii="Century Gothic" w:eastAsia="Century Gothic" w:hAnsi="Century Gothic" w:cs="Century Gothic"/>
          <w:color w:val="000000"/>
          <w:sz w:val="20"/>
          <w:szCs w:val="20"/>
        </w:rPr>
        <w:t xml:space="preserve"> el cambio climático no es algo que una persona, organización, gobierno o comunidad pueda hacer sola</w:t>
      </w:r>
      <w:r>
        <w:rPr>
          <w:rFonts w:ascii="Century Gothic" w:eastAsia="Century Gothic" w:hAnsi="Century Gothic" w:cs="Century Gothic"/>
          <w:sz w:val="20"/>
          <w:szCs w:val="20"/>
        </w:rPr>
        <w:t xml:space="preserve">. </w:t>
      </w:r>
      <w:r>
        <w:rPr>
          <w:rFonts w:ascii="Century Gothic" w:eastAsia="Century Gothic" w:hAnsi="Century Gothic" w:cs="Century Gothic"/>
          <w:color w:val="000000"/>
          <w:sz w:val="20"/>
          <w:szCs w:val="20"/>
        </w:rPr>
        <w:t>Es necesario que todos trabajemos juntos no sólo para hacer nuestra parte ahora, sino para seguir innovando de cara al futuro. También se trata de convertir los compromisos en acciones, a través de asociaciones y coaliciones, innovación tecnológica y formas creativas de ampliar conceptos probados</w:t>
      </w:r>
      <w:r>
        <w:rPr>
          <w:rFonts w:ascii="Century Gothic" w:eastAsia="Century Gothic" w:hAnsi="Century Gothic" w:cs="Century Gothic"/>
          <w:sz w:val="20"/>
          <w:szCs w:val="20"/>
        </w:rPr>
        <w:t>”</w:t>
      </w:r>
      <w:r>
        <w:rPr>
          <w:rFonts w:ascii="Century Gothic" w:eastAsia="Century Gothic" w:hAnsi="Century Gothic" w:cs="Century Gothic"/>
          <w:color w:val="000000"/>
          <w:sz w:val="20"/>
          <w:szCs w:val="20"/>
        </w:rPr>
        <w:t xml:space="preserve">.  </w:t>
      </w:r>
    </w:p>
    <w:p w14:paraId="75A88C14" w14:textId="0343C05D"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 xml:space="preserve">La </w:t>
      </w:r>
      <w:proofErr w:type="gramStart"/>
      <w:r>
        <w:rPr>
          <w:rFonts w:ascii="Century Gothic" w:eastAsia="Century Gothic" w:hAnsi="Century Gothic" w:cs="Century Gothic"/>
          <w:sz w:val="20"/>
          <w:szCs w:val="20"/>
        </w:rPr>
        <w:t>Directora</w:t>
      </w:r>
      <w:proofErr w:type="gramEnd"/>
      <w:r>
        <w:rPr>
          <w:rFonts w:ascii="Century Gothic" w:eastAsia="Century Gothic" w:hAnsi="Century Gothic" w:cs="Century Gothic"/>
          <w:sz w:val="20"/>
          <w:szCs w:val="20"/>
        </w:rPr>
        <w:t xml:space="preserve"> de Sostenibilidad destaca </w:t>
      </w:r>
      <w:r>
        <w:rPr>
          <w:rFonts w:ascii="Century Gothic" w:eastAsia="Century Gothic" w:hAnsi="Century Gothic" w:cs="Century Gothic"/>
          <w:color w:val="000000"/>
          <w:sz w:val="20"/>
          <w:szCs w:val="20"/>
        </w:rPr>
        <w:t xml:space="preserve">el trabajo de colaboración que </w:t>
      </w:r>
      <w:r>
        <w:rPr>
          <w:rFonts w:ascii="Century Gothic" w:eastAsia="Century Gothic" w:hAnsi="Century Gothic" w:cs="Century Gothic"/>
          <w:sz w:val="20"/>
          <w:szCs w:val="20"/>
        </w:rPr>
        <w:t xml:space="preserve">Delta está llevando a </w:t>
      </w:r>
      <w:r w:rsidR="00F41093">
        <w:rPr>
          <w:rFonts w:ascii="Century Gothic" w:eastAsia="Century Gothic" w:hAnsi="Century Gothic" w:cs="Century Gothic"/>
          <w:sz w:val="20"/>
          <w:szCs w:val="20"/>
        </w:rPr>
        <w:t xml:space="preserve">cabo </w:t>
      </w:r>
      <w:r w:rsidR="00F41093">
        <w:rPr>
          <w:rFonts w:ascii="Century Gothic" w:eastAsia="Century Gothic" w:hAnsi="Century Gothic" w:cs="Century Gothic"/>
          <w:color w:val="000000"/>
          <w:sz w:val="20"/>
          <w:szCs w:val="20"/>
        </w:rPr>
        <w:t>en</w:t>
      </w:r>
      <w:r>
        <w:rPr>
          <w:rFonts w:ascii="Century Gothic" w:eastAsia="Century Gothic" w:hAnsi="Century Gothic" w:cs="Century Gothic"/>
          <w:color w:val="000000"/>
          <w:sz w:val="20"/>
          <w:szCs w:val="20"/>
        </w:rPr>
        <w:t xml:space="preserve"> el mundo académico, como </w:t>
      </w:r>
      <w:r>
        <w:rPr>
          <w:rFonts w:ascii="Century Gothic" w:eastAsia="Century Gothic" w:hAnsi="Century Gothic" w:cs="Century Gothic"/>
          <w:sz w:val="20"/>
          <w:szCs w:val="20"/>
        </w:rPr>
        <w:t>su</w:t>
      </w:r>
      <w:r>
        <w:rPr>
          <w:rFonts w:ascii="Century Gothic" w:eastAsia="Century Gothic" w:hAnsi="Century Gothic" w:cs="Century Gothic"/>
          <w:color w:val="000000"/>
          <w:sz w:val="20"/>
          <w:szCs w:val="20"/>
        </w:rPr>
        <w:t xml:space="preserve"> colaboración con el MIT para investigar las estelas de condensación y la Alianza para la Aviación de Impacto Cero, para </w:t>
      </w:r>
      <w:proofErr w:type="spellStart"/>
      <w:r>
        <w:rPr>
          <w:rFonts w:ascii="Century Gothic" w:eastAsia="Century Gothic" w:hAnsi="Century Gothic" w:cs="Century Gothic"/>
          <w:color w:val="000000"/>
          <w:sz w:val="20"/>
          <w:szCs w:val="20"/>
        </w:rPr>
        <w:t>reimaginar</w:t>
      </w:r>
      <w:proofErr w:type="spellEnd"/>
      <w:r>
        <w:rPr>
          <w:rFonts w:ascii="Century Gothic" w:eastAsia="Century Gothic" w:hAnsi="Century Gothic" w:cs="Century Gothic"/>
          <w:color w:val="000000"/>
          <w:sz w:val="20"/>
          <w:szCs w:val="20"/>
        </w:rPr>
        <w:t xml:space="preserve"> el transporte aéreo con un impacto medioambiental reducido. También </w:t>
      </w:r>
      <w:r w:rsidR="00F41093">
        <w:rPr>
          <w:rFonts w:ascii="Century Gothic" w:eastAsia="Century Gothic" w:hAnsi="Century Gothic" w:cs="Century Gothic"/>
          <w:sz w:val="20"/>
          <w:szCs w:val="20"/>
        </w:rPr>
        <w:t xml:space="preserve">colabora </w:t>
      </w:r>
      <w:r w:rsidR="00F41093">
        <w:rPr>
          <w:rFonts w:ascii="Century Gothic" w:eastAsia="Century Gothic" w:hAnsi="Century Gothic" w:cs="Century Gothic"/>
          <w:color w:val="000000"/>
          <w:sz w:val="20"/>
          <w:szCs w:val="20"/>
        </w:rPr>
        <w:t>en</w:t>
      </w:r>
      <w:r>
        <w:rPr>
          <w:rFonts w:ascii="Century Gothic" w:eastAsia="Century Gothic" w:hAnsi="Century Gothic" w:cs="Century Gothic"/>
          <w:color w:val="000000"/>
          <w:sz w:val="20"/>
          <w:szCs w:val="20"/>
        </w:rPr>
        <w:t xml:space="preserve"> el sector privado con socios grandes y pequeños, como </w:t>
      </w:r>
      <w:proofErr w:type="spellStart"/>
      <w:r>
        <w:rPr>
          <w:rFonts w:ascii="Century Gothic" w:eastAsia="Century Gothic" w:hAnsi="Century Gothic" w:cs="Century Gothic"/>
          <w:color w:val="000000"/>
          <w:sz w:val="20"/>
          <w:szCs w:val="20"/>
        </w:rPr>
        <w:t>Gevo</w:t>
      </w:r>
      <w:proofErr w:type="spellEnd"/>
      <w:r>
        <w:rPr>
          <w:rFonts w:ascii="Century Gothic" w:eastAsia="Century Gothic" w:hAnsi="Century Gothic" w:cs="Century Gothic"/>
          <w:color w:val="000000"/>
          <w:sz w:val="20"/>
          <w:szCs w:val="20"/>
        </w:rPr>
        <w:t xml:space="preserve">, una empresa emergente de SAF que está innovando en la creación de combustible para aviones a partir de maíz y otras materias primas.  </w:t>
      </w:r>
    </w:p>
    <w:p w14:paraId="5E12D8EB"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Y concluye: “M</w:t>
      </w:r>
      <w:r>
        <w:rPr>
          <w:rFonts w:ascii="Century Gothic" w:eastAsia="Century Gothic" w:hAnsi="Century Gothic" w:cs="Century Gothic"/>
          <w:color w:val="000000"/>
          <w:sz w:val="20"/>
          <w:szCs w:val="20"/>
        </w:rPr>
        <w:t>e inspira</w:t>
      </w:r>
      <w:r>
        <w:rPr>
          <w:rFonts w:ascii="Century Gothic" w:eastAsia="Century Gothic" w:hAnsi="Century Gothic" w:cs="Century Gothic"/>
          <w:sz w:val="20"/>
          <w:szCs w:val="20"/>
        </w:rPr>
        <w:t xml:space="preserve"> también</w:t>
      </w:r>
      <w:r>
        <w:rPr>
          <w:rFonts w:ascii="Century Gothic" w:eastAsia="Century Gothic" w:hAnsi="Century Gothic" w:cs="Century Gothic"/>
          <w:color w:val="000000"/>
          <w:sz w:val="20"/>
          <w:szCs w:val="20"/>
        </w:rPr>
        <w:t xml:space="preserve"> el trabajo que hacen mis colegas de otras aerolíneas para resolver las dificultades de descarbonizar nuestro negocio. Aunque somos fieros competidores en el frente comercial, creo que la creciente marea de la sostenibilidad levanta todos los barcos. Es importante que todos seamos pioneros e innovemos en distintas direcciones, que compartamos lo que aprendemos por el camino y que </w:t>
      </w:r>
      <w:r>
        <w:rPr>
          <w:rFonts w:ascii="Century Gothic" w:eastAsia="Century Gothic" w:hAnsi="Century Gothic" w:cs="Century Gothic"/>
          <w:sz w:val="20"/>
          <w:szCs w:val="20"/>
        </w:rPr>
        <w:t>investiguemos</w:t>
      </w:r>
      <w:r>
        <w:rPr>
          <w:rFonts w:ascii="Century Gothic" w:eastAsia="Century Gothic" w:hAnsi="Century Gothic" w:cs="Century Gothic"/>
          <w:color w:val="000000"/>
          <w:sz w:val="20"/>
          <w:szCs w:val="20"/>
        </w:rPr>
        <w:t xml:space="preserve"> juntos qué caminos ayudarán a nuestra industria a alcanzar su objetivo de emisiones netas cero de la forma más eficaz</w:t>
      </w:r>
      <w:r>
        <w:rPr>
          <w:rFonts w:ascii="Century Gothic" w:eastAsia="Century Gothic" w:hAnsi="Century Gothic" w:cs="Century Gothic"/>
          <w:sz w:val="20"/>
          <w:szCs w:val="20"/>
        </w:rPr>
        <w:t>”</w:t>
      </w:r>
      <w:r>
        <w:rPr>
          <w:rFonts w:ascii="Century Gothic" w:eastAsia="Century Gothic" w:hAnsi="Century Gothic" w:cs="Century Gothic"/>
          <w:color w:val="000000"/>
          <w:sz w:val="20"/>
          <w:szCs w:val="20"/>
        </w:rPr>
        <w:t xml:space="preserve">.  </w:t>
      </w:r>
    </w:p>
    <w:p w14:paraId="1418A0BE"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b/>
          <w:i/>
          <w:color w:val="000000"/>
          <w:sz w:val="16"/>
          <w:szCs w:val="16"/>
        </w:rPr>
        <w:t>Acerca de Delta</w:t>
      </w:r>
    </w:p>
    <w:p w14:paraId="0FDB45AF"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Más de 90.000 empleados de Delta se encargan de ofrecer una experiencia de primera clase al cliente en más de 4.000 vuelos diarios a más de 275 destinos en seis continentes, conectando a las personas con los lugares y entre sí.</w:t>
      </w:r>
    </w:p>
    <w:p w14:paraId="6A0D07F0"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Delta se compromete a prestar servicio a 200 millones de clientes al año, con un servicio al cliente, seguridad, innovación y fiabilidad líderes en el sector, reconocida como la aerolínea más puntual de Norteamérica. Nos dedicamos a garantizar que el futuro de los viajes sea conectado, personalizado y agradable. La motivación genuina y duradera de nuestro personal es hacer que cada cliente se sienta bienvenido y respetado en cada momento de su viaje con nosotros.</w:t>
      </w:r>
    </w:p>
    <w:p w14:paraId="10F67954"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Con sede central en Atlanta, Delta opera importantes centros de operaciones y mercados clave en Ámsterdam, Atlanta, Boston, Detroit, Londres-Heathrow, Los Ángeles, Ciudad de México, Minneapolis-St. Paul, Nueva York-JFK y </w:t>
      </w:r>
      <w:proofErr w:type="spellStart"/>
      <w:r>
        <w:rPr>
          <w:rFonts w:ascii="Century Gothic" w:eastAsia="Century Gothic" w:hAnsi="Century Gothic" w:cs="Century Gothic"/>
          <w:color w:val="000000"/>
          <w:sz w:val="16"/>
          <w:szCs w:val="16"/>
        </w:rPr>
        <w:t>LaGuardia</w:t>
      </w:r>
      <w:proofErr w:type="spellEnd"/>
      <w:r>
        <w:rPr>
          <w:rFonts w:ascii="Century Gothic" w:eastAsia="Century Gothic" w:hAnsi="Century Gothic" w:cs="Century Gothic"/>
          <w:color w:val="000000"/>
          <w:sz w:val="16"/>
          <w:szCs w:val="16"/>
        </w:rPr>
        <w:t>, París-Charles de Gaulle, Salt Lake City, Seattle, Seúl-Incheon y Tokio.</w:t>
      </w:r>
    </w:p>
    <w:p w14:paraId="5A9937A6"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Como aerolínea líder mundial, la misión de Delta de conectar el mundo crea oportunidades, fomenta el entendimiento y amplía horizontes conectando a personas y comunidades entre sí y con su potencial.</w:t>
      </w:r>
    </w:p>
    <w:p w14:paraId="42F8B49F"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Impulsada por asociaciones innovadoras y estratégicas con Aeroméxico, Air France-KLM, China Eastern, </w:t>
      </w:r>
      <w:proofErr w:type="spellStart"/>
      <w:r>
        <w:rPr>
          <w:rFonts w:ascii="Century Gothic" w:eastAsia="Century Gothic" w:hAnsi="Century Gothic" w:cs="Century Gothic"/>
          <w:color w:val="000000"/>
          <w:sz w:val="16"/>
          <w:szCs w:val="16"/>
        </w:rPr>
        <w:t>Korean</w:t>
      </w:r>
      <w:proofErr w:type="spellEnd"/>
      <w:r>
        <w:rPr>
          <w:rFonts w:ascii="Century Gothic" w:eastAsia="Century Gothic" w:hAnsi="Century Gothic" w:cs="Century Gothic"/>
          <w:color w:val="000000"/>
          <w:sz w:val="16"/>
          <w:szCs w:val="16"/>
        </w:rPr>
        <w:t xml:space="preserve"> Air, LATAM, </w:t>
      </w:r>
      <w:proofErr w:type="spellStart"/>
      <w:r>
        <w:rPr>
          <w:rFonts w:ascii="Century Gothic" w:eastAsia="Century Gothic" w:hAnsi="Century Gothic" w:cs="Century Gothic"/>
          <w:color w:val="000000"/>
          <w:sz w:val="16"/>
          <w:szCs w:val="16"/>
        </w:rPr>
        <w:t>Virgin</w:t>
      </w:r>
      <w:proofErr w:type="spellEnd"/>
      <w:r>
        <w:rPr>
          <w:rFonts w:ascii="Century Gothic" w:eastAsia="Century Gothic" w:hAnsi="Century Gothic" w:cs="Century Gothic"/>
          <w:color w:val="000000"/>
          <w:sz w:val="16"/>
          <w:szCs w:val="16"/>
        </w:rPr>
        <w:t xml:space="preserve"> Atlantic y </w:t>
      </w:r>
      <w:proofErr w:type="spellStart"/>
      <w:r>
        <w:rPr>
          <w:rFonts w:ascii="Century Gothic" w:eastAsia="Century Gothic" w:hAnsi="Century Gothic" w:cs="Century Gothic"/>
          <w:color w:val="000000"/>
          <w:sz w:val="16"/>
          <w:szCs w:val="16"/>
        </w:rPr>
        <w:t>WestJet</w:t>
      </w:r>
      <w:proofErr w:type="spellEnd"/>
      <w:r>
        <w:rPr>
          <w:rFonts w:ascii="Century Gothic" w:eastAsia="Century Gothic" w:hAnsi="Century Gothic" w:cs="Century Gothic"/>
          <w:color w:val="000000"/>
          <w:sz w:val="16"/>
          <w:szCs w:val="16"/>
        </w:rPr>
        <w:t>, Delta ofrece más opciones y competencia a sus clientes de todo el mundo.</w:t>
      </w:r>
    </w:p>
    <w:p w14:paraId="5A35FF04" w14:textId="77777777" w:rsidR="009461C9"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lastRenderedPageBreak/>
        <w:t xml:space="preserve">Delta puso recientemente en marcha el mayor programa transatlántico de su historia, ofreciendo casi 620 vuelos semanales a </w:t>
      </w:r>
      <w:proofErr w:type="gramStart"/>
      <w:r>
        <w:rPr>
          <w:rFonts w:ascii="Century Gothic" w:eastAsia="Century Gothic" w:hAnsi="Century Gothic" w:cs="Century Gothic"/>
          <w:color w:val="000000"/>
          <w:sz w:val="16"/>
          <w:szCs w:val="16"/>
        </w:rPr>
        <w:t>EE.UU.</w:t>
      </w:r>
      <w:proofErr w:type="gramEnd"/>
      <w:r>
        <w:rPr>
          <w:rFonts w:ascii="Century Gothic" w:eastAsia="Century Gothic" w:hAnsi="Century Gothic" w:cs="Century Gothic"/>
          <w:color w:val="000000"/>
          <w:sz w:val="16"/>
          <w:szCs w:val="16"/>
        </w:rPr>
        <w:t xml:space="preserve"> desde 32 aeropuertos europeos.</w:t>
      </w:r>
    </w:p>
    <w:p w14:paraId="648532B0" w14:textId="77777777" w:rsidR="009461C9" w:rsidRDefault="009461C9">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p>
    <w:sectPr w:rsidR="009461C9">
      <w:headerReference w:type="default" r:id="rId10"/>
      <w:footerReference w:type="default" r:id="rId11"/>
      <w:pgSz w:w="12240" w:h="15840"/>
      <w:pgMar w:top="921" w:right="1608" w:bottom="941" w:left="156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1DF4A" w14:textId="77777777" w:rsidR="009265EB" w:rsidRDefault="009265EB">
      <w:pPr>
        <w:spacing w:line="240" w:lineRule="auto"/>
        <w:ind w:left="0" w:hanging="2"/>
      </w:pPr>
      <w:r>
        <w:separator/>
      </w:r>
    </w:p>
  </w:endnote>
  <w:endnote w:type="continuationSeparator" w:id="0">
    <w:p w14:paraId="0B3B1B65" w14:textId="77777777" w:rsidR="009265EB" w:rsidRDefault="009265E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3AD37" w14:textId="77777777" w:rsidR="009461C9" w:rsidRDefault="00000000">
    <w:pPr>
      <w:pBdr>
        <w:top w:val="nil"/>
        <w:left w:val="nil"/>
        <w:bottom w:val="nil"/>
        <w:right w:val="nil"/>
        <w:between w:val="nil"/>
      </w:pBdr>
      <w:tabs>
        <w:tab w:val="center" w:pos="4252"/>
        <w:tab w:val="right" w:pos="8504"/>
      </w:tabs>
      <w:spacing w:line="240" w:lineRule="auto"/>
      <w:ind w:left="0" w:hanging="2"/>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fldChar w:fldCharType="begin"/>
    </w:r>
    <w:r>
      <w:rPr>
        <w:rFonts w:ascii="Century Gothic" w:eastAsia="Century Gothic" w:hAnsi="Century Gothic" w:cs="Century Gothic"/>
        <w:color w:val="000000"/>
        <w:sz w:val="18"/>
        <w:szCs w:val="18"/>
      </w:rPr>
      <w:instrText>PAGE</w:instrText>
    </w:r>
    <w:r>
      <w:rPr>
        <w:rFonts w:ascii="Century Gothic" w:eastAsia="Century Gothic" w:hAnsi="Century Gothic" w:cs="Century Gothic"/>
        <w:color w:val="000000"/>
        <w:sz w:val="18"/>
        <w:szCs w:val="18"/>
      </w:rPr>
      <w:fldChar w:fldCharType="separate"/>
    </w:r>
    <w:r w:rsidR="00F41093">
      <w:rPr>
        <w:rFonts w:ascii="Century Gothic" w:eastAsia="Century Gothic" w:hAnsi="Century Gothic" w:cs="Century Gothic"/>
        <w:noProof/>
        <w:color w:val="000000"/>
        <w:sz w:val="18"/>
        <w:szCs w:val="18"/>
      </w:rPr>
      <w:t>1</w:t>
    </w:r>
    <w:r>
      <w:rPr>
        <w:rFonts w:ascii="Century Gothic" w:eastAsia="Century Gothic" w:hAnsi="Century Gothic" w:cs="Century Gothic"/>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89256" w14:textId="77777777" w:rsidR="009265EB" w:rsidRDefault="009265EB">
      <w:pPr>
        <w:spacing w:line="240" w:lineRule="auto"/>
        <w:ind w:left="0" w:hanging="2"/>
      </w:pPr>
      <w:r>
        <w:separator/>
      </w:r>
    </w:p>
  </w:footnote>
  <w:footnote w:type="continuationSeparator" w:id="0">
    <w:p w14:paraId="21DBF16F" w14:textId="77777777" w:rsidR="009265EB" w:rsidRDefault="009265E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15C45" w14:textId="77777777" w:rsidR="009461C9" w:rsidRDefault="009461C9">
    <w:pPr>
      <w:pBdr>
        <w:top w:val="nil"/>
        <w:left w:val="nil"/>
        <w:bottom w:val="nil"/>
        <w:right w:val="nil"/>
        <w:between w:val="nil"/>
      </w:pBdr>
      <w:tabs>
        <w:tab w:val="center" w:pos="4252"/>
        <w:tab w:val="right" w:pos="8504"/>
      </w:tabs>
      <w:spacing w:line="240" w:lineRule="auto"/>
      <w:ind w:left="0" w:hanging="2"/>
      <w:rPr>
        <w:color w:val="000000"/>
      </w:rPr>
    </w:pPr>
  </w:p>
  <w:p w14:paraId="134DBD21" w14:textId="77777777" w:rsidR="009461C9" w:rsidRDefault="009461C9">
    <w:pPr>
      <w:pBdr>
        <w:top w:val="nil"/>
        <w:left w:val="nil"/>
        <w:bottom w:val="nil"/>
        <w:right w:val="nil"/>
        <w:between w:val="nil"/>
      </w:pBdr>
      <w:tabs>
        <w:tab w:val="center" w:pos="4252"/>
        <w:tab w:val="right" w:pos="8504"/>
      </w:tabs>
      <w:spacing w:line="240" w:lineRule="auto"/>
      <w:ind w:left="0" w:hanging="2"/>
      <w:rPr>
        <w:color w:val="000000"/>
      </w:rPr>
    </w:pPr>
  </w:p>
  <w:p w14:paraId="285D4A6B" w14:textId="77777777" w:rsidR="009461C9" w:rsidRDefault="009461C9">
    <w:pPr>
      <w:pBdr>
        <w:top w:val="nil"/>
        <w:left w:val="nil"/>
        <w:bottom w:val="nil"/>
        <w:right w:val="nil"/>
        <w:between w:val="nil"/>
      </w:pBdr>
      <w:tabs>
        <w:tab w:val="center" w:pos="4252"/>
        <w:tab w:val="right" w:pos="8504"/>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5F7A28"/>
    <w:multiLevelType w:val="multilevel"/>
    <w:tmpl w:val="60B8CB9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533427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1C9"/>
    <w:rsid w:val="009265EB"/>
    <w:rsid w:val="009461C9"/>
    <w:rsid w:val="00CF3C42"/>
    <w:rsid w:val="00F410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E22D988"/>
  <w15:docId w15:val="{2B2B9FC8-478A-9B4C-82C1-CD0F79A05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s-ES"/>
    </w:rPr>
  </w:style>
  <w:style w:type="paragraph" w:styleId="Ttulo1">
    <w:name w:val="heading 1"/>
    <w:basedOn w:val="Normal"/>
    <w:next w:val="Normal"/>
    <w:uiPriority w:val="9"/>
    <w:qFormat/>
    <w:pPr>
      <w:keepNext/>
      <w:keepLines/>
      <w:pBdr>
        <w:top w:val="nil"/>
        <w:left w:val="nil"/>
        <w:bottom w:val="nil"/>
        <w:right w:val="nil"/>
        <w:between w:val="nil"/>
      </w:pBdr>
      <w:spacing w:before="400" w:after="120"/>
    </w:pPr>
    <w:rPr>
      <w:color w:val="000000"/>
      <w:sz w:val="40"/>
      <w:szCs w:val="40"/>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after="60"/>
    </w:pPr>
    <w:rPr>
      <w:color w:val="000000"/>
      <w:sz w:val="52"/>
      <w:szCs w:val="52"/>
    </w:rPr>
  </w:style>
  <w:style w:type="table" w:customStyle="1" w:styleId="TableNormal0">
    <w:name w:val="Table Normal"/>
    <w:next w:val="TableNormal"/>
    <w:pPr>
      <w:suppressAutoHyphens/>
      <w:ind w:leftChars="-1" w:left="-1" w:hangingChars="1" w:hanging="1"/>
      <w:textDirection w:val="btLr"/>
      <w:textAlignment w:val="top"/>
      <w:outlineLvl w:val="0"/>
    </w:pPr>
    <w:rPr>
      <w:position w:val="-1"/>
      <w:lang w:eastAsia="es-ES"/>
    </w:rPr>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0">
    <w:basedOn w:val="TableNormal0"/>
    <w:pPr>
      <w:spacing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1">
    <w:basedOn w:val="TableNormal0"/>
    <w:pPr>
      <w:spacing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2">
    <w:basedOn w:val="TableNormal0"/>
    <w:pPr>
      <w:spacing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nfasis">
    <w:name w:val="Emphasis"/>
    <w:rPr>
      <w:i/>
      <w:iCs/>
      <w:w w:val="100"/>
      <w:position w:val="-1"/>
      <w:effect w:val="none"/>
      <w:vertAlign w:val="baseline"/>
      <w:cs w:val="0"/>
      <w:em w:val="none"/>
    </w:rPr>
  </w:style>
  <w:style w:type="paragraph" w:styleId="Textosinformato">
    <w:name w:val="Plain Text"/>
    <w:basedOn w:val="Normal"/>
    <w:qFormat/>
    <w:pPr>
      <w:spacing w:line="240" w:lineRule="auto"/>
    </w:pPr>
    <w:rPr>
      <w:rFonts w:ascii="Consolas" w:eastAsia="Calibri" w:hAnsi="Consolas" w:cs="Times New Roman"/>
      <w:sz w:val="21"/>
      <w:szCs w:val="21"/>
      <w:lang w:val="en-US" w:eastAsia="en-US"/>
    </w:rPr>
  </w:style>
  <w:style w:type="character" w:customStyle="1" w:styleId="TextosinformatoCar">
    <w:name w:val="Texto sin formato Car"/>
    <w:rPr>
      <w:rFonts w:ascii="Consolas" w:eastAsia="Calibri" w:hAnsi="Consolas" w:cs="Times New Roman"/>
      <w:w w:val="100"/>
      <w:position w:val="-1"/>
      <w:sz w:val="21"/>
      <w:szCs w:val="21"/>
      <w:effect w:val="none"/>
      <w:vertAlign w:val="baseline"/>
      <w:cs w:val="0"/>
      <w:em w:val="none"/>
      <w:lang w:val="en-US" w:eastAsia="en-US"/>
    </w:rPr>
  </w:style>
  <w:style w:type="table" w:styleId="Tabladecuadrcula4">
    <w:name w:val="Grid Table 4"/>
    <w:basedOn w:val="Tablanormal"/>
    <w:pPr>
      <w:suppressAutoHyphens/>
      <w:spacing w:line="1" w:lineRule="atLeast"/>
      <w:ind w:leftChars="-1" w:left="-1" w:hangingChars="1" w:hanging="1"/>
      <w:textDirection w:val="btLr"/>
      <w:textAlignment w:val="top"/>
      <w:outlineLvl w:val="0"/>
    </w:pPr>
    <w:rPr>
      <w:rFonts w:ascii="Calibri" w:eastAsia="Calibri" w:hAnsi="Calibri" w:cs="Times New Roman"/>
      <w:position w:val="-1"/>
      <w:lang w:val="en-US"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paragraph" w:styleId="Prrafodelista">
    <w:name w:val="List Paragraph"/>
    <w:basedOn w:val="Normal"/>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ensa@serga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9p4s8O51sJBAtW6ueWtJCIAESA==">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2028</Words>
  <Characters>10513</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12531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3</cp:revision>
  <dcterms:created xsi:type="dcterms:W3CDTF">2024-03-05T09:59:00Z</dcterms:created>
  <dcterms:modified xsi:type="dcterms:W3CDTF">2024-03-05T16:45:00Z</dcterms:modified>
  <cp:category/>
</cp:coreProperties>
</file>