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B1D87" w14:textId="77777777" w:rsidR="0033003D" w:rsidRDefault="00045E1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74687F62" w14:textId="77777777" w:rsidR="0033003D" w:rsidRDefault="00045E1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7EBCD68" w14:textId="77777777" w:rsidR="0033003D" w:rsidRDefault="00045E1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5C3403E5" w14:textId="77777777" w:rsidR="0033003D" w:rsidRDefault="00045E1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52863E5C" w14:textId="77777777" w:rsidR="0033003D" w:rsidRDefault="00045E17">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33003D" w14:paraId="107C0884" w14:textId="77777777">
        <w:trPr>
          <w:jc w:val="center"/>
        </w:trPr>
        <w:tc>
          <w:tcPr>
            <w:tcW w:w="5775" w:type="dxa"/>
            <w:vAlign w:val="center"/>
          </w:tcPr>
          <w:p w14:paraId="031324EB" w14:textId="77777777" w:rsidR="0033003D" w:rsidRDefault="0033003D">
            <w:pPr>
              <w:jc w:val="center"/>
              <w:rPr>
                <w:sz w:val="20"/>
                <w:szCs w:val="20"/>
              </w:rPr>
            </w:pPr>
          </w:p>
        </w:tc>
      </w:tr>
    </w:tbl>
    <w:p w14:paraId="015F6BD4" w14:textId="77777777" w:rsidR="0033003D" w:rsidRDefault="00045E17">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El empoderamiento de la mujer, protagonista en Emirates Group</w:t>
      </w:r>
    </w:p>
    <w:p w14:paraId="44B84D27"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EAU, 8 de marzo de 2024:</w:t>
      </w:r>
      <w:r>
        <w:rPr>
          <w:rFonts w:ascii="Century Gothic" w:eastAsia="Century Gothic" w:hAnsi="Century Gothic" w:cs="Century Gothic"/>
          <w:sz w:val="22"/>
          <w:szCs w:val="22"/>
        </w:rPr>
        <w:t xml:space="preserve"> Emirates Group ha celebrado el Día Internacional de la Mujer 2024 con una autora superventas, lanzando una nueva iniciativa y destacando su compromiso inquebrantable y sus inversiones constantes en las mujeres y la igualdad de género en el lugar de trabaj</w:t>
      </w:r>
      <w:r>
        <w:rPr>
          <w:rFonts w:ascii="Century Gothic" w:eastAsia="Century Gothic" w:hAnsi="Century Gothic" w:cs="Century Gothic"/>
          <w:sz w:val="22"/>
          <w:szCs w:val="22"/>
        </w:rPr>
        <w:t>o.</w:t>
      </w:r>
    </w:p>
    <w:p w14:paraId="6D74A04A"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Grupo ha puesto en marcha su propio Consejo de la Igualdad de Género para representar a todas sus empleadas, crear una plataforma de intercambio de conocimientos y promover la causa de la igualdad de género. En la agenda del Consejo figuran programas de</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mentorship</w:t>
      </w:r>
      <w:r>
        <w:rPr>
          <w:rFonts w:ascii="Century Gothic" w:eastAsia="Century Gothic" w:hAnsi="Century Gothic" w:cs="Century Gothic"/>
          <w:sz w:val="22"/>
          <w:szCs w:val="22"/>
        </w:rPr>
        <w:t>, talleres de desarrollo profesional, actividades de divulgación y actos en defensa de la mujer en el trabajo. Un aspecto clave será apoyar los compromisos existentes del Grupo, como el compromiso del Consejo de Igualdad de Género de los EAU, la</w:t>
      </w:r>
      <w:r>
        <w:rPr>
          <w:rFonts w:ascii="Century Gothic" w:eastAsia="Century Gothic" w:hAnsi="Century Gothic" w:cs="Century Gothic"/>
          <w:sz w:val="22"/>
          <w:szCs w:val="22"/>
        </w:rPr>
        <w:t xml:space="preserve"> red NOORA, los principios del Pacto Mundial de las Naciones Unidas y 25x2025 de la IATA.</w:t>
      </w:r>
    </w:p>
    <w:p w14:paraId="2E363B5C"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Hoy, los empleados del Grupo han asistido a las charlas de Liz Wiseman, autora de varios libros sobre liderazgo, entre ellos, </w:t>
      </w:r>
      <w:r>
        <w:rPr>
          <w:rFonts w:ascii="Century Gothic" w:eastAsia="Century Gothic" w:hAnsi="Century Gothic" w:cs="Century Gothic"/>
          <w:i/>
          <w:sz w:val="22"/>
          <w:szCs w:val="22"/>
        </w:rPr>
        <w:t>Multipliers</w:t>
      </w:r>
      <w:r>
        <w:rPr>
          <w:rFonts w:ascii="Century Gothic" w:eastAsia="Century Gothic" w:hAnsi="Century Gothic" w:cs="Century Gothic"/>
          <w:sz w:val="22"/>
          <w:szCs w:val="22"/>
        </w:rPr>
        <w:t>, y directora general de la e</w:t>
      </w:r>
      <w:r>
        <w:rPr>
          <w:rFonts w:ascii="Century Gothic" w:eastAsia="Century Gothic" w:hAnsi="Century Gothic" w:cs="Century Gothic"/>
          <w:sz w:val="22"/>
          <w:szCs w:val="22"/>
        </w:rPr>
        <w:t>mpresa de investigación sobre liderazgo Wiseman Group. Liz ha aportado a su audiencia valiosas ideas y estrategias prácticas para mejorar sus capacidades de liderazgo.</w:t>
      </w:r>
    </w:p>
    <w:p w14:paraId="718FF14A"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estrategia de paridad de género de Emirates Group tiene tres vertientes: igualdad sal</w:t>
      </w:r>
      <w:r>
        <w:rPr>
          <w:rFonts w:ascii="Century Gothic" w:eastAsia="Century Gothic" w:hAnsi="Century Gothic" w:cs="Century Gothic"/>
          <w:sz w:val="22"/>
          <w:szCs w:val="22"/>
        </w:rPr>
        <w:t>arial y retribución justa; contratación, desarrollo y promoción equitativos; y políticas equilibradas, programas e iniciativas de inclusión. Las estructuras salariales y retributivas del Grupo están libres de prejuicios de género.</w:t>
      </w:r>
    </w:p>
    <w:p w14:paraId="3A289EEA"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El Grupo ha sido durante </w:t>
      </w:r>
      <w:r>
        <w:rPr>
          <w:rFonts w:ascii="Century Gothic" w:eastAsia="Century Gothic" w:hAnsi="Century Gothic" w:cs="Century Gothic"/>
          <w:sz w:val="22"/>
          <w:szCs w:val="22"/>
        </w:rPr>
        <w:t xml:space="preserve">mucho tiempo un empleador que muchos eligen, y su atractivo está creciendo claramente entre las mujeres, desde la Generación Z y los Millennials hasta las profesionales con mayor experiencia. A fecha del 1 de marzo de 2024, las mujeres en la plantilla del </w:t>
      </w:r>
      <w:r>
        <w:rPr>
          <w:rFonts w:ascii="Century Gothic" w:eastAsia="Century Gothic" w:hAnsi="Century Gothic" w:cs="Century Gothic"/>
          <w:sz w:val="22"/>
          <w:szCs w:val="22"/>
        </w:rPr>
        <w:t>Grupo:</w:t>
      </w:r>
    </w:p>
    <w:p w14:paraId="43655ABD" w14:textId="77777777" w:rsidR="0033003D" w:rsidRDefault="00045E17">
      <w:pPr>
        <w:numPr>
          <w:ilvl w:val="0"/>
          <w:numId w:val="1"/>
        </w:numPr>
        <w:pBdr>
          <w:top w:val="nil"/>
          <w:left w:val="nil"/>
          <w:bottom w:val="nil"/>
          <w:right w:val="nil"/>
          <w:between w:val="nil"/>
        </w:pBdr>
        <w:spacing w:before="280" w:line="360" w:lineRule="auto"/>
        <w:jc w:val="both"/>
        <w:rPr>
          <w:color w:val="000000"/>
          <w:sz w:val="22"/>
          <w:szCs w:val="22"/>
        </w:rPr>
      </w:pPr>
      <w:r>
        <w:rPr>
          <w:rFonts w:ascii="Century Gothic" w:eastAsia="Century Gothic" w:hAnsi="Century Gothic" w:cs="Century Gothic"/>
          <w:sz w:val="22"/>
          <w:szCs w:val="22"/>
        </w:rPr>
        <w:t xml:space="preserve">Han aumentado </w:t>
      </w:r>
      <w:r>
        <w:rPr>
          <w:rFonts w:ascii="Century Gothic" w:eastAsia="Century Gothic" w:hAnsi="Century Gothic" w:cs="Century Gothic"/>
          <w:color w:val="000000"/>
          <w:sz w:val="22"/>
          <w:szCs w:val="22"/>
        </w:rPr>
        <w:t>un 1 % hasta l</w:t>
      </w:r>
      <w:r>
        <w:rPr>
          <w:rFonts w:ascii="Century Gothic" w:eastAsia="Century Gothic" w:hAnsi="Century Gothic" w:cs="Century Gothic"/>
          <w:sz w:val="22"/>
          <w:szCs w:val="22"/>
        </w:rPr>
        <w:t>a</w:t>
      </w:r>
      <w:r>
        <w:rPr>
          <w:rFonts w:ascii="Century Gothic" w:eastAsia="Century Gothic" w:hAnsi="Century Gothic" w:cs="Century Gothic"/>
          <w:color w:val="000000"/>
          <w:sz w:val="22"/>
          <w:szCs w:val="22"/>
        </w:rPr>
        <w:t>s 26.896, es decir, el 43 % de la plantilla, de l</w:t>
      </w:r>
      <w:r>
        <w:rPr>
          <w:rFonts w:ascii="Century Gothic" w:eastAsia="Century Gothic" w:hAnsi="Century Gothic" w:cs="Century Gothic"/>
          <w:sz w:val="22"/>
          <w:szCs w:val="22"/>
        </w:rPr>
        <w:t>a</w:t>
      </w:r>
      <w:r>
        <w:rPr>
          <w:rFonts w:ascii="Century Gothic" w:eastAsia="Century Gothic" w:hAnsi="Century Gothic" w:cs="Century Gothic"/>
          <w:color w:val="000000"/>
          <w:sz w:val="22"/>
          <w:szCs w:val="22"/>
        </w:rPr>
        <w:t>s cuales 1240 son nacionales de los EAU.</w:t>
      </w:r>
    </w:p>
    <w:p w14:paraId="2256D56F" w14:textId="77777777" w:rsidR="0033003D" w:rsidRDefault="00045E17">
      <w:pPr>
        <w:numPr>
          <w:ilvl w:val="0"/>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sz w:val="22"/>
          <w:szCs w:val="22"/>
        </w:rPr>
        <w:t>R</w:t>
      </w:r>
      <w:r>
        <w:rPr>
          <w:rFonts w:ascii="Century Gothic" w:eastAsia="Century Gothic" w:hAnsi="Century Gothic" w:cs="Century Gothic"/>
          <w:color w:val="000000"/>
          <w:sz w:val="22"/>
          <w:szCs w:val="22"/>
        </w:rPr>
        <w:t>epresentan</w:t>
      </w:r>
    </w:p>
    <w:p w14:paraId="7846D5D1" w14:textId="77777777" w:rsidR="0033003D" w:rsidRDefault="00045E17">
      <w:pPr>
        <w:numPr>
          <w:ilvl w:val="1"/>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color w:val="000000"/>
          <w:sz w:val="22"/>
          <w:szCs w:val="22"/>
        </w:rPr>
        <w:t>el 39 % de los mandos intermedios y el 15 % de los directivos</w:t>
      </w:r>
      <w:r w:rsidR="00AA7420">
        <w:rPr>
          <w:rFonts w:ascii="Century Gothic" w:eastAsia="Century Gothic" w:hAnsi="Century Gothic" w:cs="Century Gothic"/>
          <w:color w:val="000000"/>
          <w:sz w:val="22"/>
          <w:szCs w:val="22"/>
        </w:rPr>
        <w:t>.</w:t>
      </w:r>
    </w:p>
    <w:p w14:paraId="5085B29A" w14:textId="77777777" w:rsidR="0033003D" w:rsidRDefault="00045E17">
      <w:pPr>
        <w:numPr>
          <w:ilvl w:val="1"/>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color w:val="000000"/>
          <w:sz w:val="22"/>
          <w:szCs w:val="22"/>
        </w:rPr>
        <w:t>el 56 % de los recién incorporados y el 55 % de los ascendidos</w:t>
      </w:r>
      <w:r w:rsidR="00AA7420">
        <w:rPr>
          <w:rFonts w:ascii="Century Gothic" w:eastAsia="Century Gothic" w:hAnsi="Century Gothic" w:cs="Century Gothic"/>
          <w:color w:val="000000"/>
          <w:sz w:val="22"/>
          <w:szCs w:val="22"/>
        </w:rPr>
        <w:t>.</w:t>
      </w:r>
    </w:p>
    <w:p w14:paraId="3421AB91" w14:textId="77777777" w:rsidR="0033003D" w:rsidRDefault="00045E17">
      <w:pPr>
        <w:numPr>
          <w:ilvl w:val="1"/>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color w:val="000000"/>
          <w:sz w:val="22"/>
          <w:szCs w:val="22"/>
        </w:rPr>
        <w:t>el 50 % de los movimientos de mandos intermedios a directivos</w:t>
      </w:r>
      <w:r w:rsidR="00AA7420">
        <w:rPr>
          <w:rFonts w:ascii="Century Gothic" w:eastAsia="Century Gothic" w:hAnsi="Century Gothic" w:cs="Century Gothic"/>
          <w:color w:val="000000"/>
          <w:sz w:val="22"/>
          <w:szCs w:val="22"/>
        </w:rPr>
        <w:t>.</w:t>
      </w:r>
    </w:p>
    <w:p w14:paraId="0ABFA98E" w14:textId="77777777" w:rsidR="0033003D" w:rsidRDefault="00045E17">
      <w:pPr>
        <w:numPr>
          <w:ilvl w:val="1"/>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color w:val="000000"/>
          <w:sz w:val="22"/>
          <w:szCs w:val="22"/>
        </w:rPr>
        <w:t>67 % de los movimientos laterales</w:t>
      </w:r>
      <w:r w:rsidR="00AA7420">
        <w:rPr>
          <w:rFonts w:ascii="Century Gothic" w:eastAsia="Century Gothic" w:hAnsi="Century Gothic" w:cs="Century Gothic"/>
          <w:color w:val="000000"/>
          <w:sz w:val="22"/>
          <w:szCs w:val="22"/>
        </w:rPr>
        <w:t>.</w:t>
      </w:r>
    </w:p>
    <w:p w14:paraId="75D851D3" w14:textId="77777777" w:rsidR="0033003D" w:rsidRDefault="00045E17">
      <w:pPr>
        <w:numPr>
          <w:ilvl w:val="1"/>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color w:val="000000"/>
          <w:sz w:val="22"/>
          <w:szCs w:val="22"/>
        </w:rPr>
        <w:t>1218 puestos, de los cuales 462 sólo tienen mujeres</w:t>
      </w:r>
      <w:r w:rsidR="00AA7420">
        <w:rPr>
          <w:rFonts w:ascii="Century Gothic" w:eastAsia="Century Gothic" w:hAnsi="Century Gothic" w:cs="Century Gothic"/>
          <w:color w:val="000000"/>
          <w:sz w:val="22"/>
          <w:szCs w:val="22"/>
        </w:rPr>
        <w:t>.</w:t>
      </w:r>
      <w:bookmarkStart w:id="0" w:name="_GoBack"/>
      <w:bookmarkEnd w:id="0"/>
    </w:p>
    <w:p w14:paraId="06C7F00F" w14:textId="77777777" w:rsidR="0033003D" w:rsidRDefault="00045E17">
      <w:pPr>
        <w:numPr>
          <w:ilvl w:val="0"/>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sz w:val="22"/>
          <w:szCs w:val="22"/>
        </w:rPr>
        <w:t>R</w:t>
      </w:r>
      <w:r>
        <w:rPr>
          <w:rFonts w:ascii="Century Gothic" w:eastAsia="Century Gothic" w:hAnsi="Century Gothic" w:cs="Century Gothic"/>
          <w:color w:val="000000"/>
          <w:sz w:val="22"/>
          <w:szCs w:val="22"/>
        </w:rPr>
        <w:t>epresentan el 26 % global de la formación en</w:t>
      </w:r>
      <w:r>
        <w:rPr>
          <w:rFonts w:ascii="Century Gothic" w:eastAsia="Century Gothic" w:hAnsi="Century Gothic" w:cs="Century Gothic"/>
          <w:color w:val="000000"/>
          <w:sz w:val="22"/>
          <w:szCs w:val="22"/>
        </w:rPr>
        <w:t xml:space="preserve"> liderazgo y gestión, que incluye asociaciones con instituciones de primer orden como Global Business Consortium, INSEAD y las mejores universidades. INSEAD, para mujeres líderes emiratíes, está diseñado para ayudarlas a crear redes con profesionales de to</w:t>
      </w:r>
      <w:r>
        <w:rPr>
          <w:rFonts w:ascii="Century Gothic" w:eastAsia="Century Gothic" w:hAnsi="Century Gothic" w:cs="Century Gothic"/>
          <w:color w:val="000000"/>
          <w:sz w:val="22"/>
          <w:szCs w:val="22"/>
        </w:rPr>
        <w:t>do el mundo.</w:t>
      </w:r>
    </w:p>
    <w:p w14:paraId="3F513236" w14:textId="77777777" w:rsidR="0033003D" w:rsidRDefault="00045E17">
      <w:pPr>
        <w:numPr>
          <w:ilvl w:val="0"/>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sz w:val="22"/>
          <w:szCs w:val="22"/>
        </w:rPr>
        <w:t>S</w:t>
      </w:r>
      <w:r>
        <w:rPr>
          <w:rFonts w:ascii="Century Gothic" w:eastAsia="Century Gothic" w:hAnsi="Century Gothic" w:cs="Century Gothic"/>
          <w:color w:val="000000"/>
          <w:sz w:val="22"/>
          <w:szCs w:val="22"/>
        </w:rPr>
        <w:t xml:space="preserve">iguen disfrutando de sus carreras en el Grupo después de ser madres, ya que, tras la baja por maternidad, el 88 % de las mujeres en general y el 85 % de las tripulantes de cabina </w:t>
      </w:r>
      <w:r>
        <w:rPr>
          <w:rFonts w:ascii="Century Gothic" w:eastAsia="Century Gothic" w:hAnsi="Century Gothic" w:cs="Century Gothic"/>
          <w:sz w:val="22"/>
          <w:szCs w:val="22"/>
        </w:rPr>
        <w:t xml:space="preserve">han vuelto </w:t>
      </w:r>
      <w:r>
        <w:rPr>
          <w:rFonts w:ascii="Century Gothic" w:eastAsia="Century Gothic" w:hAnsi="Century Gothic" w:cs="Century Gothic"/>
          <w:color w:val="000000"/>
          <w:sz w:val="22"/>
          <w:szCs w:val="22"/>
        </w:rPr>
        <w:t>al trabajo.</w:t>
      </w:r>
    </w:p>
    <w:p w14:paraId="29001564" w14:textId="77777777" w:rsidR="0033003D" w:rsidRDefault="00045E17">
      <w:pPr>
        <w:numPr>
          <w:ilvl w:val="0"/>
          <w:numId w:val="1"/>
        </w:numPr>
        <w:pBdr>
          <w:top w:val="nil"/>
          <w:left w:val="nil"/>
          <w:bottom w:val="nil"/>
          <w:right w:val="nil"/>
          <w:between w:val="nil"/>
        </w:pBdr>
        <w:spacing w:line="360" w:lineRule="auto"/>
        <w:jc w:val="both"/>
        <w:rPr>
          <w:color w:val="000000"/>
          <w:sz w:val="22"/>
          <w:szCs w:val="22"/>
        </w:rPr>
      </w:pPr>
      <w:r>
        <w:rPr>
          <w:rFonts w:ascii="Century Gothic" w:eastAsia="Century Gothic" w:hAnsi="Century Gothic" w:cs="Century Gothic"/>
          <w:sz w:val="22"/>
          <w:szCs w:val="22"/>
        </w:rPr>
        <w:t xml:space="preserve">Han sido </w:t>
      </w:r>
      <w:r>
        <w:rPr>
          <w:rFonts w:ascii="Century Gothic" w:eastAsia="Century Gothic" w:hAnsi="Century Gothic" w:cs="Century Gothic"/>
          <w:color w:val="000000"/>
          <w:sz w:val="22"/>
          <w:szCs w:val="22"/>
        </w:rPr>
        <w:t>reconocidas por sus logros: 365</w:t>
      </w:r>
      <w:r>
        <w:rPr>
          <w:rFonts w:ascii="Century Gothic" w:eastAsia="Century Gothic" w:hAnsi="Century Gothic" w:cs="Century Gothic"/>
          <w:color w:val="000000"/>
          <w:sz w:val="22"/>
          <w:szCs w:val="22"/>
        </w:rPr>
        <w:t xml:space="preserve">9 mujeres, es decir, el 30 % del total de empleados, </w:t>
      </w:r>
      <w:r>
        <w:rPr>
          <w:rFonts w:ascii="Century Gothic" w:eastAsia="Century Gothic" w:hAnsi="Century Gothic" w:cs="Century Gothic"/>
          <w:sz w:val="22"/>
          <w:szCs w:val="22"/>
        </w:rPr>
        <w:t>han sido premiadas</w:t>
      </w:r>
      <w:r>
        <w:rPr>
          <w:rFonts w:ascii="Century Gothic" w:eastAsia="Century Gothic" w:hAnsi="Century Gothic" w:cs="Century Gothic"/>
          <w:color w:val="000000"/>
          <w:sz w:val="22"/>
          <w:szCs w:val="22"/>
        </w:rPr>
        <w:t>.</w:t>
      </w:r>
    </w:p>
    <w:p w14:paraId="034153A8"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Las iniciativas clave que muestran el compromiso del Grupo para lograr la paridad de género y la capacitación de las mujeres incluyen:</w:t>
      </w:r>
    </w:p>
    <w:p w14:paraId="7C32FB97"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Compromiso del Consejo de Igualdad de Género de </w:t>
      </w:r>
      <w:r>
        <w:rPr>
          <w:rFonts w:ascii="Century Gothic" w:eastAsia="Century Gothic" w:hAnsi="Century Gothic" w:cs="Century Gothic"/>
          <w:b/>
          <w:sz w:val="22"/>
          <w:szCs w:val="22"/>
        </w:rPr>
        <w:t>los EAU:</w:t>
      </w:r>
      <w:r>
        <w:rPr>
          <w:rFonts w:ascii="Century Gothic" w:eastAsia="Century Gothic" w:hAnsi="Century Gothic" w:cs="Century Gothic"/>
          <w:sz w:val="22"/>
          <w:szCs w:val="22"/>
        </w:rPr>
        <w:t xml:space="preserve"> firmado en enero de 2023 para alcanzar el 30 % de mujeres en la plantilla y aumentar la representación femenina en los puestos directivos medios y superiores para 2025.</w:t>
      </w:r>
    </w:p>
    <w:p w14:paraId="4AEACC77"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NOORA, Aurora 50</w:t>
      </w:r>
      <w:r>
        <w:rPr>
          <w:rFonts w:ascii="Century Gothic" w:eastAsia="Century Gothic" w:hAnsi="Century Gothic" w:cs="Century Gothic"/>
          <w:sz w:val="22"/>
          <w:szCs w:val="22"/>
        </w:rPr>
        <w:t>: firmó una asociación de dos años con Aurora50 y es una de las cofundadoras de NOORA, una red de mujeres de diversos ámbitos profesionales que apoyan a personas con ambiciones afines.</w:t>
      </w:r>
    </w:p>
    <w:p w14:paraId="2CB2BE55"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Pacto Mundial de las Naciones Unidas (PMNU):</w:t>
      </w:r>
      <w:r>
        <w:rPr>
          <w:rFonts w:ascii="Century Gothic" w:eastAsia="Century Gothic" w:hAnsi="Century Gothic" w:cs="Century Gothic"/>
          <w:sz w:val="22"/>
          <w:szCs w:val="22"/>
        </w:rPr>
        <w:t xml:space="preserve"> en abril de 2023, Emirates</w:t>
      </w:r>
      <w:r>
        <w:rPr>
          <w:rFonts w:ascii="Century Gothic" w:eastAsia="Century Gothic" w:hAnsi="Century Gothic" w:cs="Century Gothic"/>
          <w:sz w:val="22"/>
          <w:szCs w:val="22"/>
        </w:rPr>
        <w:t xml:space="preserve"> y dnata se unieron al UNGC y reafirmaron su compromiso con los Objetivos de Desarrollo Sostenible (ODS) de la ONU. Cuatro empleadas representan al Grupo en el programa acelerador Target Gender Equality del UNGC.</w:t>
      </w:r>
    </w:p>
    <w:p w14:paraId="603C9932"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IATA 25x2025</w:t>
      </w:r>
      <w:r>
        <w:rPr>
          <w:rFonts w:ascii="Century Gothic" w:eastAsia="Century Gothic" w:hAnsi="Century Gothic" w:cs="Century Gothic"/>
          <w:sz w:val="22"/>
          <w:szCs w:val="22"/>
        </w:rPr>
        <w:t>: dnata suscribió esta iniciativa en 2021 y ha puesto en marcha una serie de programas, desde talleres de desarrollo profesional y tutoría hasta asesoramiento sobre maternidad para la vuelta al trabajo, un grupo de apoyo a las madres y mucho más.</w:t>
      </w:r>
    </w:p>
    <w:p w14:paraId="0FCDF699"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Grupo </w:t>
      </w:r>
      <w:r>
        <w:rPr>
          <w:rFonts w:ascii="Century Gothic" w:eastAsia="Century Gothic" w:hAnsi="Century Gothic" w:cs="Century Gothic"/>
          <w:sz w:val="22"/>
          <w:szCs w:val="22"/>
        </w:rPr>
        <w:t xml:space="preserve">también ha puesto en marcha formación sobre prejuicios interiorizados con el objetivo de minimizarlos, ha lanzado un capítulo del movimiento global #IAmRemarkable para amplificar las historias de las mujeres, un foro de Mujeres en el Liderazgo (WIL) y una </w:t>
      </w:r>
      <w:r>
        <w:rPr>
          <w:rFonts w:ascii="Century Gothic" w:eastAsia="Century Gothic" w:hAnsi="Century Gothic" w:cs="Century Gothic"/>
          <w:sz w:val="22"/>
          <w:szCs w:val="22"/>
        </w:rPr>
        <w:t xml:space="preserve">comunidad de Mujeres en Emirates Group. Todas estas iniciativas llevan a sus miembros a un viaje de descubrimiento, conocimiento y debate con ponentes, seminarios web, talleres, </w:t>
      </w:r>
      <w:r>
        <w:rPr>
          <w:rFonts w:ascii="Century Gothic" w:eastAsia="Century Gothic" w:hAnsi="Century Gothic" w:cs="Century Gothic"/>
          <w:i/>
          <w:sz w:val="22"/>
          <w:szCs w:val="22"/>
        </w:rPr>
        <w:t xml:space="preserve">mentoring </w:t>
      </w:r>
      <w:r>
        <w:rPr>
          <w:rFonts w:ascii="Century Gothic" w:eastAsia="Century Gothic" w:hAnsi="Century Gothic" w:cs="Century Gothic"/>
          <w:sz w:val="22"/>
          <w:szCs w:val="22"/>
        </w:rPr>
        <w:t>y oportunidades de establecer contactos.</w:t>
      </w:r>
    </w:p>
    <w:p w14:paraId="6B7A007B"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No basándose sólo en sus em</w:t>
      </w:r>
      <w:r>
        <w:rPr>
          <w:rFonts w:ascii="Century Gothic" w:eastAsia="Century Gothic" w:hAnsi="Century Gothic" w:cs="Century Gothic"/>
          <w:sz w:val="22"/>
          <w:szCs w:val="22"/>
        </w:rPr>
        <w:t>pleados, el Grupo va más allá de las fronteras para proteger, educar y empoderar a las niñas de zonas económicamente desfavorecidas. La Emirates Airline Foundation apoya el IIMPACT Girls Education Project, dedicado a transformar la vida de las mujeres, las</w:t>
      </w:r>
      <w:r>
        <w:rPr>
          <w:rFonts w:ascii="Century Gothic" w:eastAsia="Century Gothic" w:hAnsi="Century Gothic" w:cs="Century Gothic"/>
          <w:sz w:val="22"/>
          <w:szCs w:val="22"/>
        </w:rPr>
        <w:t xml:space="preserve"> familias y las comunidades de las zonas más remotas y rurales de la India empoderando a las niñas a través de la educación. IIMPACT educa a niñas en más de 1100 aldeas de 11 estados de la India, y actualmente cuenta con más de 4200 niñas matriculadas en s</w:t>
      </w:r>
      <w:r>
        <w:rPr>
          <w:rFonts w:ascii="Century Gothic" w:eastAsia="Century Gothic" w:hAnsi="Century Gothic" w:cs="Century Gothic"/>
          <w:sz w:val="22"/>
          <w:szCs w:val="22"/>
        </w:rPr>
        <w:t>us centros de aprendizaje. La fundación financia íntegramente los gastos operativos del Orfanato Santa Rita de Cassia, que acoge a más de 96 niñas huérfanas abandonadas de entre 4 y 12 años en Río de Janeiro (Brasil).</w:t>
      </w:r>
    </w:p>
    <w:p w14:paraId="427151AA"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lastRenderedPageBreak/>
        <w:t>Acerca de Emirates</w:t>
      </w:r>
    </w:p>
    <w:p w14:paraId="1056BEA7" w14:textId="77777777" w:rsidR="0033003D" w:rsidRDefault="00045E17">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w:t>
      </w:r>
      <w:r>
        <w:rPr>
          <w:rFonts w:ascii="Century Gothic" w:eastAsia="Century Gothic" w:hAnsi="Century Gothic" w:cs="Century Gothic"/>
          <w:sz w:val="18"/>
          <w:szCs w:val="18"/>
        </w:rPr>
        <w:t>aerolínea internacional de pasajeros, opera en España desde 2010. La compañía conecta a los viajeros españoles a través de su hub global en Dubái con más de 130 destinos en todo el mundo. Emirates une Dubái con Madrid y Barcelona, así como también Ciudad d</w:t>
      </w:r>
      <w:r>
        <w:rPr>
          <w:rFonts w:ascii="Century Gothic" w:eastAsia="Century Gothic" w:hAnsi="Century Gothic" w:cs="Century Gothic"/>
          <w:sz w:val="18"/>
          <w:szCs w:val="18"/>
        </w:rPr>
        <w:t>e México vía Barcelona. Emirates ha conseguido el reconocimiento a la "Mejor Primera Clase del Mundo" en los premios Tripadvisor Travelers' Choice Awards para aerolíneas en 2020; los galardones al "Mejor Wi-Fi y Mejor Comida y Bebida" en Oriente Medio en l</w:t>
      </w:r>
      <w:r>
        <w:rPr>
          <w:rFonts w:ascii="Century Gothic" w:eastAsia="Century Gothic" w:hAnsi="Century Gothic" w:cs="Century Gothic"/>
          <w:sz w:val="18"/>
          <w:szCs w:val="18"/>
        </w:rPr>
        <w:t>os APEX Regional Passenger Choice Awards® 2022; "Mejor Entretenimiento a Bordo"en los premios Business Traveller de 2020; y "Mejor Aerolínea del Mundo en Entretenimiento a Bordo" en los premios SkyTrax World Airlines de 2022.</w:t>
      </w:r>
    </w:p>
    <w:sectPr w:rsidR="0033003D">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C54F1" w14:textId="77777777" w:rsidR="00045E17" w:rsidRDefault="00045E17">
      <w:r>
        <w:separator/>
      </w:r>
    </w:p>
  </w:endnote>
  <w:endnote w:type="continuationSeparator" w:id="0">
    <w:p w14:paraId="3CB4D500" w14:textId="77777777" w:rsidR="00045E17" w:rsidRDefault="00045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F348A" w14:textId="77777777" w:rsidR="00045E17" w:rsidRDefault="00045E17">
      <w:r>
        <w:separator/>
      </w:r>
    </w:p>
  </w:footnote>
  <w:footnote w:type="continuationSeparator" w:id="0">
    <w:p w14:paraId="2DBB9DA3" w14:textId="77777777" w:rsidR="00045E17" w:rsidRDefault="00045E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C6DA2" w14:textId="77777777" w:rsidR="0033003D" w:rsidRDefault="00045E17">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19AAB393" wp14:editId="44B7D8BB">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3D26D44A" w14:textId="77777777" w:rsidR="0033003D" w:rsidRDefault="0033003D">
    <w:pPr>
      <w:pBdr>
        <w:top w:val="nil"/>
        <w:left w:val="nil"/>
        <w:bottom w:val="nil"/>
        <w:right w:val="nil"/>
        <w:between w:val="nil"/>
      </w:pBdr>
      <w:tabs>
        <w:tab w:val="right" w:pos="8478"/>
      </w:tabs>
      <w:spacing w:after="200"/>
      <w:rPr>
        <w:rFonts w:ascii="Cambria" w:eastAsia="Cambria" w:hAnsi="Cambria" w:cs="Cambria"/>
        <w:color w:val="000000"/>
      </w:rPr>
    </w:pPr>
  </w:p>
  <w:p w14:paraId="15AAFF11" w14:textId="77777777" w:rsidR="0033003D" w:rsidRDefault="0033003D">
    <w:pPr>
      <w:pBdr>
        <w:top w:val="nil"/>
        <w:left w:val="nil"/>
        <w:bottom w:val="nil"/>
        <w:right w:val="nil"/>
        <w:between w:val="nil"/>
      </w:pBdr>
      <w:tabs>
        <w:tab w:val="right" w:pos="8478"/>
      </w:tabs>
      <w:spacing w:after="200"/>
      <w:rPr>
        <w:rFonts w:ascii="Cambria" w:eastAsia="Cambria" w:hAnsi="Cambria" w:cs="Cambria"/>
        <w:color w:val="000000"/>
      </w:rPr>
    </w:pPr>
  </w:p>
  <w:p w14:paraId="5C07DD08" w14:textId="77777777" w:rsidR="0033003D" w:rsidRDefault="0033003D">
    <w:pPr>
      <w:pBdr>
        <w:top w:val="nil"/>
        <w:left w:val="nil"/>
        <w:bottom w:val="nil"/>
        <w:right w:val="nil"/>
        <w:between w:val="nil"/>
      </w:pBdr>
      <w:tabs>
        <w:tab w:val="right" w:pos="8478"/>
      </w:tabs>
      <w:spacing w:after="200"/>
      <w:rPr>
        <w:rFonts w:ascii="Cambria" w:eastAsia="Cambria" w:hAnsi="Cambria" w:cs="Cambria"/>
        <w:color w:val="000000"/>
      </w:rPr>
    </w:pPr>
  </w:p>
  <w:p w14:paraId="34B75C0A" w14:textId="77777777" w:rsidR="0033003D" w:rsidRDefault="0033003D">
    <w:pPr>
      <w:pBdr>
        <w:top w:val="nil"/>
        <w:left w:val="nil"/>
        <w:bottom w:val="nil"/>
        <w:right w:val="nil"/>
        <w:between w:val="nil"/>
      </w:pBdr>
      <w:tabs>
        <w:tab w:val="right" w:pos="8478"/>
      </w:tabs>
      <w:spacing w:after="200"/>
      <w:rPr>
        <w:rFonts w:ascii="Cambria" w:eastAsia="Cambria" w:hAnsi="Cambria" w:cs="Cambria"/>
        <w:color w:val="000000"/>
      </w:rPr>
    </w:pPr>
  </w:p>
  <w:p w14:paraId="7952C731" w14:textId="77777777" w:rsidR="0033003D" w:rsidRDefault="0033003D">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885A68"/>
    <w:multiLevelType w:val="multilevel"/>
    <w:tmpl w:val="183AA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3D"/>
    <w:rsid w:val="00045E17"/>
    <w:rsid w:val="0033003D"/>
    <w:rsid w:val="00AA742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2020C2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1026</Words>
  <Characters>5163</Characters>
  <Application>Microsoft Macintosh Word</Application>
  <DocSecurity>0</DocSecurity>
  <Lines>92</Lines>
  <Paragraphs>35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6154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Usuario de Microsoft Office</cp:lastModifiedBy>
  <cp:revision>2</cp:revision>
  <dcterms:created xsi:type="dcterms:W3CDTF">2024-03-08T12:59:00Z</dcterms:created>
  <dcterms:modified xsi:type="dcterms:W3CDTF">2024-03-08T13:03:00Z</dcterms:modified>
  <cp:category/>
</cp:coreProperties>
</file>