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0" w:firstLine="0"/>
        <w:rPr>
          <w:color w:val="000000"/>
          <w:sz w:val="18"/>
          <w:szCs w:val="18"/>
        </w:rPr>
      </w:pPr>
      <w:r w:rsidDel="00000000" w:rsidR="00000000" w:rsidRPr="00000000">
        <w:rPr>
          <w:color w:val="000000"/>
          <w:sz w:val="18"/>
          <w:szCs w:val="18"/>
          <w:rtl w:val="0"/>
        </w:rPr>
        <w:tab/>
      </w:r>
      <w:r w:rsidDel="00000000" w:rsidR="00000000" w:rsidRPr="00000000">
        <w:drawing>
          <wp:anchor allowOverlap="1" behindDoc="0" distB="0" distT="0" distL="114300" distR="114300" hidden="0" layoutInCell="1" locked="0" relativeHeight="0" simplePos="0">
            <wp:simplePos x="0" y="0"/>
            <wp:positionH relativeFrom="column">
              <wp:posOffset>3522345</wp:posOffset>
            </wp:positionH>
            <wp:positionV relativeFrom="paragraph">
              <wp:posOffset>635</wp:posOffset>
            </wp:positionV>
            <wp:extent cx="2286000" cy="3905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0" cy="39052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color w:val="000000"/>
          <w:sz w:val="18"/>
          <w:szCs w:val="18"/>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0" w:hanging="2"/>
        <w:jc w:val="right"/>
        <w:rPr>
          <w:color w:val="000000"/>
          <w:sz w:val="18"/>
          <w:szCs w:val="18"/>
        </w:rPr>
      </w:pPr>
      <w:r w:rsidDel="00000000" w:rsidR="00000000" w:rsidRPr="00000000">
        <w:rPr>
          <w:color w:val="000000"/>
          <w:sz w:val="18"/>
          <w:szCs w:val="18"/>
          <w:rtl w:val="0"/>
        </w:rPr>
        <w:t xml:space="preserve">Reservas España, Tel. 91 375 41 46</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0" w:hanging="2"/>
        <w:jc w:val="right"/>
        <w:rPr>
          <w:color w:val="0000ff"/>
          <w:sz w:val="18"/>
          <w:szCs w:val="18"/>
          <w:u w:val="single"/>
        </w:rPr>
      </w:pPr>
      <w:r w:rsidDel="00000000" w:rsidR="00000000" w:rsidRPr="00000000">
        <w:rPr>
          <w:color w:val="000000"/>
          <w:sz w:val="18"/>
          <w:szCs w:val="18"/>
          <w:rtl w:val="0"/>
        </w:rPr>
        <w:t xml:space="preserve">Web: </w:t>
      </w:r>
      <w:r w:rsidDel="00000000" w:rsidR="00000000" w:rsidRPr="00000000">
        <w:rPr>
          <w:color w:val="0000ff"/>
          <w:sz w:val="18"/>
          <w:szCs w:val="18"/>
          <w:u w:val="single"/>
          <w:rtl w:val="0"/>
        </w:rPr>
        <w:t xml:space="preserve">www.delta.com</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0" w:hanging="2"/>
        <w:rPr>
          <w:color w:val="000000"/>
          <w:sz w:val="18"/>
          <w:szCs w:val="1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0" w:hanging="2"/>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E-mail: </w:t>
      </w:r>
      <w:hyperlink r:id="rId8">
        <w:r w:rsidDel="00000000" w:rsidR="00000000" w:rsidRPr="00000000">
          <w:rPr>
            <w:rFonts w:ascii="Century Gothic" w:cs="Century Gothic" w:eastAsia="Century Gothic" w:hAnsi="Century Gothic"/>
            <w:color w:val="0000ff"/>
            <w:sz w:val="18"/>
            <w:szCs w:val="18"/>
            <w:u w:val="single"/>
            <w:rtl w:val="0"/>
          </w:rPr>
          <w:t xml:space="preserve">prensa@sergat.com</w:t>
        </w:r>
      </w:hyperlink>
      <w:r w:rsidDel="00000000" w:rsidR="00000000" w:rsidRPr="00000000">
        <w:rPr>
          <w:rFonts w:ascii="Century Gothic" w:cs="Century Gothic" w:eastAsia="Century Gothic" w:hAnsi="Century Gothic"/>
          <w:color w:val="000000"/>
          <w:sz w:val="18"/>
          <w:szCs w:val="18"/>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60" w:lineRule="auto"/>
        <w:ind w:left="0" w:hanging="2"/>
        <w:jc w:val="center"/>
        <w:rPr>
          <w:rFonts w:ascii="Century Gothic" w:cs="Century Gothic" w:eastAsia="Century Gothic" w:hAnsi="Century Gothic"/>
          <w:color w:val="000000"/>
        </w:rPr>
      </w:pPr>
      <w:bookmarkStart w:colFirst="0" w:colLast="0" w:name="_heading=h.gjdgxs" w:id="0"/>
      <w:bookmarkEnd w:id="0"/>
      <w:r w:rsidDel="00000000" w:rsidR="00000000" w:rsidRPr="00000000">
        <w:rPr>
          <w:rFonts w:ascii="Century Gothic" w:cs="Century Gothic" w:eastAsia="Century Gothic" w:hAnsi="Century Gothic"/>
          <w:b w:val="1"/>
          <w:color w:val="000000"/>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Rule="auto"/>
        <w:ind w:left="0" w:hanging="2"/>
        <w:rPr>
          <w:rFonts w:ascii="Century Gothic" w:cs="Century Gothic" w:eastAsia="Century Gothic" w:hAnsi="Century Gothic"/>
          <w:color w:val="000000"/>
          <w:u w:val="single"/>
        </w:rPr>
      </w:pPr>
      <w:r w:rsidDel="00000000" w:rsidR="00000000" w:rsidRPr="00000000">
        <w:rPr>
          <w:rFonts w:ascii="Century Gothic" w:cs="Century Gothic" w:eastAsia="Century Gothic" w:hAnsi="Century Gothic"/>
          <w:b w:val="1"/>
          <w:color w:val="000000"/>
          <w:u w:val="single"/>
          <w:rtl w:val="0"/>
        </w:rPr>
        <w:t xml:space="preserve">COMUNICADO DE PRENSA</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lineRule="auto"/>
        <w:ind w:left="0" w:hanging="2"/>
        <w:rPr>
          <w:rFonts w:ascii="Century Gothic" w:cs="Century Gothic" w:eastAsia="Century Gothic" w:hAnsi="Century Gothic"/>
          <w:color w:val="000000"/>
          <w:u w:val="singl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60" w:line="360" w:lineRule="auto"/>
        <w:ind w:left="0" w:hanging="2"/>
        <w:jc w:val="cente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Barcelona, entre los 10 destinos más buscados por los clientes de Estados Unidos de Delta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60" w:line="360" w:lineRule="auto"/>
        <w:ind w:left="0" w:hanging="2"/>
        <w:jc w:val="center"/>
        <w:rPr>
          <w:rFonts w:ascii="Century Gothic" w:cs="Century Gothic" w:eastAsia="Century Gothic" w:hAnsi="Century Gothic"/>
          <w:i w:val="1"/>
          <w:color w:val="000000"/>
          <w:sz w:val="20"/>
          <w:szCs w:val="20"/>
        </w:rPr>
      </w:pPr>
      <w:r w:rsidDel="00000000" w:rsidR="00000000" w:rsidRPr="00000000">
        <w:rPr>
          <w:rFonts w:ascii="Century Gothic" w:cs="Century Gothic" w:eastAsia="Century Gothic" w:hAnsi="Century Gothic"/>
          <w:i w:val="1"/>
          <w:sz w:val="20"/>
          <w:szCs w:val="20"/>
          <w:rtl w:val="0"/>
        </w:rPr>
        <w:t xml:space="preserve">La línea aérea</w:t>
      </w:r>
      <w:r w:rsidDel="00000000" w:rsidR="00000000" w:rsidRPr="00000000">
        <w:rPr>
          <w:rFonts w:ascii="Century Gothic" w:cs="Century Gothic" w:eastAsia="Century Gothic" w:hAnsi="Century Gothic"/>
          <w:i w:val="1"/>
          <w:color w:val="000000"/>
          <w:sz w:val="20"/>
          <w:szCs w:val="20"/>
          <w:rtl w:val="0"/>
        </w:rPr>
        <w:t xml:space="preserve"> </w:t>
      </w:r>
      <w:r w:rsidDel="00000000" w:rsidR="00000000" w:rsidRPr="00000000">
        <w:rPr>
          <w:rFonts w:ascii="Century Gothic" w:cs="Century Gothic" w:eastAsia="Century Gothic" w:hAnsi="Century Gothic"/>
          <w:i w:val="1"/>
          <w:sz w:val="20"/>
          <w:szCs w:val="20"/>
          <w:rtl w:val="0"/>
        </w:rPr>
        <w:t xml:space="preserve">hace públicos</w:t>
      </w:r>
      <w:r w:rsidDel="00000000" w:rsidR="00000000" w:rsidRPr="00000000">
        <w:rPr>
          <w:rFonts w:ascii="Century Gothic" w:cs="Century Gothic" w:eastAsia="Century Gothic" w:hAnsi="Century Gothic"/>
          <w:i w:val="1"/>
          <w:color w:val="000000"/>
          <w:sz w:val="20"/>
          <w:szCs w:val="20"/>
          <w:rtl w:val="0"/>
        </w:rPr>
        <w:t xml:space="preserve"> los destinos internacionales más </w:t>
      </w:r>
      <w:r w:rsidDel="00000000" w:rsidR="00000000" w:rsidRPr="00000000">
        <w:rPr>
          <w:rFonts w:ascii="Century Gothic" w:cs="Century Gothic" w:eastAsia="Century Gothic" w:hAnsi="Century Gothic"/>
          <w:i w:val="1"/>
          <w:sz w:val="20"/>
          <w:szCs w:val="20"/>
          <w:rtl w:val="0"/>
        </w:rPr>
        <w:t xml:space="preserve">populares entre sus viajeros </w:t>
      </w:r>
      <w:r w:rsidDel="00000000" w:rsidR="00000000" w:rsidRPr="00000000">
        <w:rPr>
          <w:rFonts w:ascii="Century Gothic" w:cs="Century Gothic" w:eastAsia="Century Gothic" w:hAnsi="Century Gothic"/>
          <w:i w:val="1"/>
          <w:color w:val="000000"/>
          <w:sz w:val="20"/>
          <w:szCs w:val="20"/>
          <w:rtl w:val="0"/>
        </w:rPr>
        <w:t xml:space="preserve">para el verano de 2024</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60" w:line="360" w:lineRule="auto"/>
        <w:ind w:lef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sz w:val="20"/>
          <w:szCs w:val="20"/>
          <w:rtl w:val="0"/>
        </w:rPr>
        <w:t xml:space="preserve">Atlanta, 23</w:t>
      </w:r>
      <w:r w:rsidDel="00000000" w:rsidR="00000000" w:rsidRPr="00000000">
        <w:rPr>
          <w:rFonts w:ascii="Century Gothic" w:cs="Century Gothic" w:eastAsia="Century Gothic" w:hAnsi="Century Gothic"/>
          <w:b w:val="1"/>
          <w:color w:val="000000"/>
          <w:sz w:val="20"/>
          <w:szCs w:val="20"/>
          <w:rtl w:val="0"/>
        </w:rPr>
        <w:t xml:space="preserve"> de abril de 2024.</w:t>
      </w:r>
      <w:r w:rsidDel="00000000" w:rsidR="00000000" w:rsidRPr="00000000">
        <w:rPr>
          <w:rFonts w:ascii="Century Gothic" w:cs="Century Gothic" w:eastAsia="Century Gothic" w:hAnsi="Century Gothic"/>
          <w:color w:val="000000"/>
          <w:sz w:val="20"/>
          <w:szCs w:val="20"/>
          <w:rtl w:val="0"/>
        </w:rPr>
        <w:t xml:space="preserve"> Anticipándose </w:t>
      </w:r>
      <w:r w:rsidDel="00000000" w:rsidR="00000000" w:rsidRPr="00000000">
        <w:rPr>
          <w:rFonts w:ascii="Century Gothic" w:cs="Century Gothic" w:eastAsia="Century Gothic" w:hAnsi="Century Gothic"/>
          <w:sz w:val="20"/>
          <w:szCs w:val="20"/>
          <w:rtl w:val="0"/>
        </w:rPr>
        <w:t xml:space="preserve">a la temporada alta turística</w:t>
      </w:r>
      <w:r w:rsidDel="00000000" w:rsidR="00000000" w:rsidRPr="00000000">
        <w:rPr>
          <w:rFonts w:ascii="Century Gothic" w:cs="Century Gothic" w:eastAsia="Century Gothic" w:hAnsi="Century Gothic"/>
          <w:color w:val="000000"/>
          <w:sz w:val="20"/>
          <w:szCs w:val="20"/>
          <w:rtl w:val="0"/>
        </w:rPr>
        <w:t xml:space="preserve">, </w:t>
      </w:r>
      <w:r w:rsidDel="00000000" w:rsidR="00000000" w:rsidRPr="00000000">
        <w:rPr>
          <w:rFonts w:ascii="Century Gothic" w:cs="Century Gothic" w:eastAsia="Century Gothic" w:hAnsi="Century Gothic"/>
          <w:sz w:val="20"/>
          <w:szCs w:val="20"/>
          <w:rtl w:val="0"/>
        </w:rPr>
        <w:t xml:space="preserve">Delta, que contará con el mayor programa internacional hasta la fecha, ha publicado </w:t>
      </w:r>
      <w:r w:rsidDel="00000000" w:rsidR="00000000" w:rsidRPr="00000000">
        <w:rPr>
          <w:rFonts w:ascii="Century Gothic" w:cs="Century Gothic" w:eastAsia="Century Gothic" w:hAnsi="Century Gothic"/>
          <w:color w:val="000000"/>
          <w:sz w:val="20"/>
          <w:szCs w:val="20"/>
          <w:rtl w:val="0"/>
        </w:rPr>
        <w:t xml:space="preserve">su segunda lista anual de los destinos más buscados para escapadas </w:t>
      </w:r>
      <w:r w:rsidDel="00000000" w:rsidR="00000000" w:rsidRPr="00000000">
        <w:rPr>
          <w:rFonts w:ascii="Century Gothic" w:cs="Century Gothic" w:eastAsia="Century Gothic" w:hAnsi="Century Gothic"/>
          <w:sz w:val="20"/>
          <w:szCs w:val="20"/>
          <w:rtl w:val="0"/>
        </w:rPr>
        <w:t xml:space="preserve">estivales</w:t>
      </w:r>
      <w:r w:rsidDel="00000000" w:rsidR="00000000" w:rsidRPr="00000000">
        <w:rPr>
          <w:rFonts w:ascii="Century Gothic" w:cs="Century Gothic" w:eastAsia="Century Gothic" w:hAnsi="Century Gothic"/>
          <w:color w:val="000000"/>
          <w:sz w:val="20"/>
          <w:szCs w:val="20"/>
          <w:rtl w:val="0"/>
        </w:rPr>
        <w:t xml:space="preserve">. Recopilada a partir de los datos de búsqueda de Delta.com*, esta lista revela las ciudades que los clientes tienen en mente para viajar en verano entre mayo y agosto.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La lista de los 10 destinos más buscados revela que muchos viajeros estadounidenses buscan experiencias culturales diferentes en lugares lejanos, siendo Atenas la ciudad que experimenta el mayor aumento de búsquedas (248 %) con respecto al año pasado. Las siempre populares ciudades de Londres, París y Roma encabezan la lista, junto con Dublín, Barcelona y Vancouver como nuevas incorporaciones este año.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Las búsquedas de estos 10 principales destinos internacionales aumentaron más de un 150% con respecto a 2023, lo que pone de manifiesto la fuerte demanda de viajes internacionales tras los 11 días de mayores ventas de la historia de la aerolínea, todos ellos ocurridos este año 2024.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Lista de destinos internacionales más buscados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Londres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París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Roma</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Atenas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Cancún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Ámsterdam</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Tokio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Dublín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Barcelona</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58"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Vancouver</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60" w:line="360" w:lineRule="auto"/>
        <w:ind w:left="-2" w:firstLine="0"/>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60" w:line="360" w:lineRule="auto"/>
        <w:ind w:left="-2" w:firstLine="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Estos datos llegan tras el anuncio por parte de la </w:t>
      </w:r>
      <w:r w:rsidDel="00000000" w:rsidR="00000000" w:rsidRPr="00000000">
        <w:rPr>
          <w:rFonts w:ascii="Century Gothic" w:cs="Century Gothic" w:eastAsia="Century Gothic" w:hAnsi="Century Gothic"/>
          <w:sz w:val="20"/>
          <w:szCs w:val="20"/>
          <w:rtl w:val="0"/>
        </w:rPr>
        <w:t xml:space="preserve">línea aérea</w:t>
      </w:r>
      <w:r w:rsidDel="00000000" w:rsidR="00000000" w:rsidRPr="00000000">
        <w:rPr>
          <w:rFonts w:ascii="Century Gothic" w:cs="Century Gothic" w:eastAsia="Century Gothic" w:hAnsi="Century Gothic"/>
          <w:color w:val="000000"/>
          <w:sz w:val="20"/>
          <w:szCs w:val="20"/>
          <w:rtl w:val="0"/>
        </w:rPr>
        <w:t xml:space="preserve"> de nuevos servicios internacionales para este verano, entre ellos, un segundo vuelo </w:t>
      </w:r>
      <w:r w:rsidDel="00000000" w:rsidR="00000000" w:rsidRPr="00000000">
        <w:rPr>
          <w:rFonts w:ascii="Century Gothic" w:cs="Century Gothic" w:eastAsia="Century Gothic" w:hAnsi="Century Gothic"/>
          <w:sz w:val="20"/>
          <w:szCs w:val="20"/>
          <w:rtl w:val="0"/>
        </w:rPr>
        <w:t xml:space="preserve">diario Barcelona - NY JFK (desde el 31 de mayo), un </w:t>
      </w:r>
      <w:r w:rsidDel="00000000" w:rsidR="00000000" w:rsidRPr="00000000">
        <w:rPr>
          <w:rFonts w:ascii="Century Gothic" w:cs="Century Gothic" w:eastAsia="Century Gothic" w:hAnsi="Century Gothic"/>
          <w:color w:val="000000"/>
          <w:sz w:val="20"/>
          <w:szCs w:val="20"/>
          <w:rtl w:val="0"/>
        </w:rPr>
        <w:t xml:space="preserve">nuevo servicio desde Minneapolis-St. Paul a Dublín (Irlanda) y un nuevo servicio desde el aeropuerto JFK a Nápoles, a partir de mayo.</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 el ámbito nacional, los destinos más buscados (excluyendo los centros de Delta) incluyen Las Vegas, Orlando, Miami y Honolulu, lo que indica un gran interés por las escapadas soleadas y las ciudades que celebran grandes eventos deportivos este verano.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Con más de 290 destinos en más de 50 países, otros destinos destacados para el verano incluyen nuevos servicios sin escalas a Venecia, Tulum y Nápoles (a partir de mayo). Los clientes que estén listos para reservar unas vacaciones pueden hacerlo a través de Delta.com.  </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Delta está preparada para ayudar a disfrutar al cliente de una experiencia de viaje elevada y sin complicaciones. Desde la apertura de una nueva </w:t>
      </w:r>
      <w:r w:rsidDel="00000000" w:rsidR="00000000" w:rsidRPr="00000000">
        <w:rPr>
          <w:rFonts w:ascii="Century Gothic" w:cs="Century Gothic" w:eastAsia="Century Gothic" w:hAnsi="Century Gothic"/>
          <w:i w:val="1"/>
          <w:color w:val="000000"/>
          <w:sz w:val="20"/>
          <w:szCs w:val="20"/>
          <w:rtl w:val="0"/>
        </w:rPr>
        <w:t xml:space="preserve">Delta One Lounge</w:t>
      </w:r>
      <w:r w:rsidDel="00000000" w:rsidR="00000000" w:rsidRPr="00000000">
        <w:rPr>
          <w:rFonts w:ascii="Century Gothic" w:cs="Century Gothic" w:eastAsia="Century Gothic" w:hAnsi="Century Gothic"/>
          <w:color w:val="000000"/>
          <w:sz w:val="20"/>
          <w:szCs w:val="20"/>
          <w:rtl w:val="0"/>
        </w:rPr>
        <w:t xml:space="preserve"> hasta la mejora de los </w:t>
      </w:r>
      <w:r w:rsidDel="00000000" w:rsidR="00000000" w:rsidRPr="00000000">
        <w:rPr>
          <w:rFonts w:ascii="Century Gothic" w:cs="Century Gothic" w:eastAsia="Century Gothic" w:hAnsi="Century Gothic"/>
          <w:i w:val="1"/>
          <w:color w:val="000000"/>
          <w:sz w:val="20"/>
          <w:szCs w:val="20"/>
          <w:rtl w:val="0"/>
        </w:rPr>
        <w:t xml:space="preserve">Sky Clubs</w:t>
      </w:r>
      <w:r w:rsidDel="00000000" w:rsidR="00000000" w:rsidRPr="00000000">
        <w:rPr>
          <w:rFonts w:ascii="Century Gothic" w:cs="Century Gothic" w:eastAsia="Century Gothic" w:hAnsi="Century Gothic"/>
          <w:color w:val="000000"/>
          <w:sz w:val="20"/>
          <w:szCs w:val="20"/>
          <w:rtl w:val="0"/>
        </w:rPr>
        <w:t xml:space="preserve"> en ciudades como Miami y Los Ángeles, pasando por la ampliación de Digital ID y el despliegue continuo de nuevas pantallas en los respaldos de los asientos, junto con una conexión Wi-Fi rápida y gratuita y miles de opciones de entretenimiento cuidadosamente seleccionadas, Delta se asegura de que </w:t>
      </w:r>
      <w:r w:rsidDel="00000000" w:rsidR="00000000" w:rsidRPr="00000000">
        <w:rPr>
          <w:rFonts w:ascii="Century Gothic" w:cs="Century Gothic" w:eastAsia="Century Gothic" w:hAnsi="Century Gothic"/>
          <w:sz w:val="20"/>
          <w:szCs w:val="20"/>
          <w:rtl w:val="0"/>
        </w:rPr>
        <w:t xml:space="preserve">el</w:t>
      </w:r>
      <w:r w:rsidDel="00000000" w:rsidR="00000000" w:rsidRPr="00000000">
        <w:rPr>
          <w:rFonts w:ascii="Century Gothic" w:cs="Century Gothic" w:eastAsia="Century Gothic" w:hAnsi="Century Gothic"/>
          <w:color w:val="000000"/>
          <w:sz w:val="20"/>
          <w:szCs w:val="20"/>
          <w:rtl w:val="0"/>
        </w:rPr>
        <w:t xml:space="preserve"> viaje de verano sea </w:t>
      </w:r>
      <w:r w:rsidDel="00000000" w:rsidR="00000000" w:rsidRPr="00000000">
        <w:rPr>
          <w:rFonts w:ascii="Century Gothic" w:cs="Century Gothic" w:eastAsia="Century Gothic" w:hAnsi="Century Gothic"/>
          <w:sz w:val="20"/>
          <w:szCs w:val="20"/>
          <w:rtl w:val="0"/>
        </w:rPr>
        <w:t xml:space="preserve">impecable</w:t>
      </w:r>
      <w:r w:rsidDel="00000000" w:rsidR="00000000" w:rsidRPr="00000000">
        <w:rPr>
          <w:rFonts w:ascii="Century Gothic" w:cs="Century Gothic" w:eastAsia="Century Gothic" w:hAnsi="Century Gothic"/>
          <w:color w:val="000000"/>
          <w:sz w:val="20"/>
          <w:szCs w:val="20"/>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Para obtener más información y consultar las últimas ofertas de vuelos, visite Delta.com.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*Los datos se han extraído de las búsquedas realizadas en EE. UU. en Delta.com entre el 1 de noviembre de 2023 y el 18 de marzo de 2024 para viajar entre mayo y agosto de 2024.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60" w:line="360" w:lineRule="auto"/>
        <w:ind w:left="0" w:firstLine="0"/>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b w:val="1"/>
          <w:i w:val="1"/>
          <w:color w:val="000000"/>
          <w:sz w:val="16"/>
          <w:szCs w:val="16"/>
          <w:rtl w:val="0"/>
        </w:rPr>
        <w:t xml:space="preserve">Acerca de Delta</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Más de 90.000 empleados de Delta se encargan de ofrecer una experiencia de primera clase al cliente en más de 4.000 vuelos diarios a más de 275 destinos en seis continentes, conectando a las personas con los lugares y entre sí.</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Con sede central en Atlanta, Delta opera importantes centros de operaciones y mercados clave en Ámsterdam, Atlanta, Boston, Detroit, Londres-Heathrow, Los Ángeles, Ciudad de México, Minneapolis-St. Paul, Nueva York-JFK y LaGuardia, París-Charles de Gaulle, Salt Lake City, Seattle, Seúl-Incheon y Tokio.</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Como aerolínea líder mundial, la misión de Delta de conectar el mundo crea oportunidades, fomenta el entendimiento y amplía horizontes conectando a personas y comunidades entre sí y con su potencial.</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color w:val="000000"/>
          <w:sz w:val="16"/>
          <w:szCs w:val="16"/>
          <w:rtl w:val="0"/>
        </w:rPr>
        <w:t xml:space="preserve">Impulsada por asociaciones innovadoras y estratégicas con Aeroméxico, Air France-KLM, China Eastern, Korean Air, LATAM, Virgin Atlantic y WestJet, Delta ofrece más opciones y competencia a sus clientes de todo el mundo.</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Fonts w:ascii="Century Gothic" w:cs="Century Gothic" w:eastAsia="Century Gothic" w:hAnsi="Century Gothic"/>
          <w:sz w:val="16"/>
          <w:szCs w:val="16"/>
          <w:rtl w:val="0"/>
        </w:rPr>
        <w:t xml:space="preserve">El pasado verano, </w:t>
      </w:r>
      <w:r w:rsidDel="00000000" w:rsidR="00000000" w:rsidRPr="00000000">
        <w:rPr>
          <w:rFonts w:ascii="Century Gothic" w:cs="Century Gothic" w:eastAsia="Century Gothic" w:hAnsi="Century Gothic"/>
          <w:color w:val="000000"/>
          <w:sz w:val="16"/>
          <w:szCs w:val="16"/>
          <w:rtl w:val="0"/>
        </w:rPr>
        <w:t xml:space="preserve">Delta puso en marcha el mayor programa transatlántico de su historia, ofreciendo casi 620 vuelos semanales a EE.UU. desde 32 aeropuertos europeos.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60" w:line="360" w:lineRule="auto"/>
        <w:ind w:left="0" w:hanging="2"/>
        <w:jc w:val="both"/>
        <w:rPr>
          <w:rFonts w:ascii="Century Gothic" w:cs="Century Gothic" w:eastAsia="Century Gothic" w:hAnsi="Century Gothic"/>
          <w:color w:val="000000"/>
          <w:sz w:val="16"/>
          <w:szCs w:val="16"/>
        </w:rPr>
      </w:pPr>
      <w:r w:rsidDel="00000000" w:rsidR="00000000" w:rsidRPr="00000000">
        <w:rPr>
          <w:rtl w:val="0"/>
        </w:rPr>
      </w:r>
    </w:p>
    <w:sectPr>
      <w:headerReference r:id="rId9" w:type="default"/>
      <w:footerReference r:id="rId10" w:type="default"/>
      <w:pgSz w:h="15840" w:w="12240" w:orient="portrait"/>
      <w:pgMar w:bottom="941" w:top="921" w:left="1560" w:right="16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58" w:hanging="36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ES"/>
      </w:rPr>
    </w:rPrDefault>
    <w:pPrDefault>
      <w:pPr>
        <w:spacing w:line="27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00" w:lineRule="auto"/>
    </w:pPr>
    <w:rPr>
      <w:color w:val="000000"/>
      <w:sz w:val="40"/>
      <w:szCs w:val="4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120" w:before="360" w:lineRule="auto"/>
    </w:pPr>
    <w:rPr>
      <w:color w:val="000000"/>
      <w:sz w:val="32"/>
      <w:szCs w:val="32"/>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320" w:lineRule="auto"/>
    </w:pPr>
    <w:rPr>
      <w:color w:val="434343"/>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color w:val="666666"/>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color w:val="666666"/>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i w:val="1"/>
      <w:color w:val="666666"/>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60" w:lineRule="auto"/>
    </w:pPr>
    <w:rPr>
      <w:color w:val="000000"/>
      <w:sz w:val="52"/>
      <w:szCs w:val="52"/>
    </w:rPr>
  </w:style>
  <w:style w:type="paragraph" w:styleId="Normal" w:default="1">
    <w:name w:val="Normal"/>
    <w:qFormat w:val="1"/>
    <w:pPr>
      <w:suppressAutoHyphens w:val="1"/>
      <w:ind w:left="-1" w:leftChars="-1" w:hanging="1" w:hangingChars="1"/>
      <w:textDirection w:val="btLr"/>
      <w:textAlignment w:val="top"/>
      <w:outlineLvl w:val="0"/>
    </w:pPr>
    <w:rPr>
      <w:position w:val="-1"/>
      <w:lang w:eastAsia="es-ES"/>
    </w:rPr>
  </w:style>
  <w:style w:type="paragraph" w:styleId="Ttulo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spacing w:after="120" w:before="400"/>
    </w:pPr>
    <w:rPr>
      <w:color w:val="000000"/>
      <w:sz w:val="40"/>
      <w:szCs w:val="40"/>
    </w:rPr>
  </w:style>
  <w:style w:type="paragraph" w:styleId="Ttulo2">
    <w:name w:val="heading 2"/>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120" w:before="360"/>
      <w:outlineLvl w:val="1"/>
    </w:pPr>
    <w:rPr>
      <w:color w:val="000000"/>
      <w:sz w:val="32"/>
      <w:szCs w:val="32"/>
    </w:rPr>
  </w:style>
  <w:style w:type="paragraph" w:styleId="Ttulo3">
    <w:name w:val="heading 3"/>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pBdr>
        <w:top w:space="0" w:sz="0" w:val="nil"/>
        <w:left w:space="0" w:sz="0" w:val="nil"/>
        <w:bottom w:space="0" w:sz="0" w:val="nil"/>
        <w:right w:space="0" w:sz="0" w:val="nil"/>
        <w:between w:space="0" w:sz="0" w:val="nil"/>
      </w:pBdr>
      <w:spacing w:after="60"/>
    </w:pPr>
    <w:rPr>
      <w:color w:val="000000"/>
      <w:sz w:val="52"/>
      <w:szCs w:val="52"/>
    </w:rPr>
  </w:style>
  <w:style w:type="table" w:styleId="TableNormal0" w:customStyle="1">
    <w:name w:val="Table Normal"/>
    <w:next w:val="TableNormal"/>
    <w:pPr>
      <w:suppressAutoHyphens w:val="1"/>
      <w:ind w:left="-1" w:leftChars="-1" w:hanging="1" w:hangingChars="1"/>
      <w:textDirection w:val="btLr"/>
      <w:textAlignment w:val="top"/>
      <w:outlineLvl w:val="0"/>
    </w:pPr>
    <w:rPr>
      <w:position w:val="-1"/>
      <w:lang w:eastAsia="es-ES"/>
    </w:rPr>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0" w:customStyle="1">
    <w:basedOn w:val="TableNormal0"/>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1" w:customStyle="1">
    <w:basedOn w:val="TableNormal0"/>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2" w:customStyle="1">
    <w:basedOn w:val="TableNormal0"/>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paragraph" w:styleId="NormalWeb">
    <w:name w:val="Normal (Web)"/>
    <w:basedOn w:val="Normal"/>
    <w:qFormat w:val="1"/>
    <w:pPr>
      <w:spacing w:after="100" w:afterAutospacing="1" w:before="100" w:beforeAutospacing="1" w:line="240" w:lineRule="auto"/>
    </w:pPr>
    <w:rPr>
      <w:rFonts w:ascii="Times New Roman" w:cs="Times New Roman" w:eastAsia="Times New Roman" w:hAnsi="Times New Roman"/>
      <w:sz w:val="24"/>
      <w:szCs w:val="24"/>
      <w:lang w:eastAsia="es-AR" w:val="es-AR"/>
    </w:rPr>
  </w:style>
  <w:style w:type="character" w:styleId="nfasis">
    <w:name w:val="Emphasis"/>
    <w:rPr>
      <w:i w:val="1"/>
      <w:iCs w:val="1"/>
      <w:w w:val="100"/>
      <w:position w:val="-1"/>
      <w:effect w:val="none"/>
      <w:vertAlign w:val="baseline"/>
      <w:cs w:val="0"/>
      <w:em w:val="none"/>
    </w:rPr>
  </w:style>
  <w:style w:type="paragraph" w:styleId="Textosinformato">
    <w:name w:val="Plain Text"/>
    <w:basedOn w:val="Normal"/>
    <w:qFormat w:val="1"/>
    <w:pPr>
      <w:spacing w:line="240" w:lineRule="auto"/>
    </w:pPr>
    <w:rPr>
      <w:rFonts w:ascii="Consolas" w:cs="Times New Roman" w:eastAsia="Calibri" w:hAnsi="Consolas"/>
      <w:sz w:val="21"/>
      <w:szCs w:val="21"/>
      <w:lang w:eastAsia="en-US" w:val="en-US"/>
    </w:rPr>
  </w:style>
  <w:style w:type="character" w:styleId="TextosinformatoCar" w:customStyle="1">
    <w:name w:val="Texto sin formato Car"/>
    <w:rPr>
      <w:rFonts w:ascii="Consolas" w:cs="Times New Roman" w:eastAsia="Calibri" w:hAnsi="Consolas"/>
      <w:w w:val="100"/>
      <w:position w:val="-1"/>
      <w:sz w:val="21"/>
      <w:szCs w:val="21"/>
      <w:effect w:val="none"/>
      <w:vertAlign w:val="baseline"/>
      <w:cs w:val="0"/>
      <w:em w:val="none"/>
      <w:lang w:eastAsia="en-US" w:val="en-US"/>
    </w:rPr>
  </w:style>
  <w:style w:type="table" w:styleId="Tabladecuadrcula4">
    <w:name w:val="Grid Table 4"/>
    <w:basedOn w:val="Tablanormal"/>
    <w:pPr>
      <w:suppressAutoHyphens w:val="1"/>
      <w:spacing w:line="1" w:lineRule="atLeast"/>
      <w:ind w:left="-1" w:leftChars="-1" w:hanging="1" w:hangingChars="1"/>
      <w:textDirection w:val="btLr"/>
      <w:textAlignment w:val="top"/>
      <w:outlineLvl w:val="0"/>
    </w:pPr>
    <w:rPr>
      <w:rFonts w:ascii="Calibri" w:cs="Times New Roman" w:eastAsia="Calibri" w:hAnsi="Calibri"/>
      <w:position w:val="-1"/>
      <w:lang w:eastAsia="en-US" w:val="en-US"/>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style>
  <w:style w:type="paragraph" w:styleId="PrrafodelistaBulletListFooterTextListParagraph1numberedParagraphedeliste1BulletrListParagraph1Listeafsnit1PargrafodaLista1ListParagraph2ListParagraph21Prrafodelista11ColorfulList-Accent11BulletlistFoot" w:customStyle="1">
    <w:name w:val="Párrafo de lista;Bullet List;FooterText;List Paragraph1;numbered;Paragraphe de liste1;Bulletr List Paragraph;列出段落;列出段落1;Listeafsnit1;Parágrafo da Lista1;List Paragraph2;List Paragraph21;Párrafo de lista1;リスト段落1;Colorful List - Accent 11;Bullet list;Foot"/>
    <w:basedOn w:val="Normal"/>
    <w:pPr>
      <w:ind w:left="708"/>
    </w:pPr>
  </w:style>
  <w:style w:type="character" w:styleId="Refdecomentario">
    <w:name w:val="annotation reference"/>
    <w:qFormat w:val="1"/>
    <w:rPr>
      <w:w w:val="100"/>
      <w:position w:val="-1"/>
      <w:sz w:val="16"/>
      <w:szCs w:val="16"/>
      <w:effect w:val="none"/>
      <w:vertAlign w:val="baseline"/>
      <w:cs w:val="0"/>
      <w:em w:val="none"/>
    </w:rPr>
  </w:style>
  <w:style w:type="paragraph" w:styleId="Textocomentario">
    <w:name w:val="annotation text"/>
    <w:basedOn w:val="Normal"/>
    <w:qFormat w:val="1"/>
    <w:pPr>
      <w:spacing w:after="160" w:line="240" w:lineRule="auto"/>
    </w:pPr>
    <w:rPr>
      <w:rFonts w:ascii="Aptos" w:cs="Times New Roman" w:eastAsia="Aptos" w:hAnsi="Aptos"/>
      <w:kern w:val="2"/>
      <w:sz w:val="20"/>
      <w:szCs w:val="20"/>
      <w:lang w:eastAsia="en-US" w:val="en-US"/>
    </w:rPr>
  </w:style>
  <w:style w:type="character" w:styleId="TextocomentarioCar" w:customStyle="1">
    <w:name w:val="Texto comentario Car"/>
    <w:rPr>
      <w:rFonts w:ascii="Aptos" w:cs="Times New Roman" w:eastAsia="Aptos" w:hAnsi="Aptos"/>
      <w:w w:val="100"/>
      <w:kern w:val="2"/>
      <w:position w:val="-1"/>
      <w:effect w:val="none"/>
      <w:vertAlign w:val="baseline"/>
      <w:cs w:val="0"/>
      <w:em w:val="none"/>
      <w:lang w:eastAsia="en-US" w:val="en-US"/>
    </w:rPr>
  </w:style>
  <w:style w:type="table" w:styleId="Tablaconcuadrcula">
    <w:name w:val="Table Grid"/>
    <w:basedOn w:val="Tablanormal"/>
    <w:pPr>
      <w:suppressAutoHyphens w:val="1"/>
      <w:spacing w:line="1" w:lineRule="atLeast"/>
      <w:ind w:left="-1" w:leftChars="-1" w:hanging="1" w:hangingChars="1"/>
      <w:textDirection w:val="btLr"/>
      <w:textAlignment w:val="top"/>
      <w:outlineLvl w:val="0"/>
    </w:pPr>
    <w:rPr>
      <w:rFonts w:ascii="Aptos" w:cs="Times New Roman" w:eastAsia="Aptos" w:hAnsi="Aptos"/>
      <w:position w:val="-1"/>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rrafodelistaCarBulletListCarFooterTextCarListParagraph1CarnumberedCarParagraphedeliste1CarBulletrListParagraphCarCar1CarListeafsnit1CarPargrafodaLista1CarListParagraph2CarListParagraph21Car1Car" w:customStyle="1">
    <w:name w:val="Párrafo de lista Car;Bullet List Car;FooterText Car;List Paragraph1 Car;numbered Car;Paragraphe de liste1 Car;Bulletr List Paragraph Car;列出段落 Car;列出段落1 Car;Listeafsnit1 Car;Parágrafo da Lista1 Car;List Paragraph2 Car;List Paragraph21 Car;リスト段落1 Car"/>
    <w:rPr>
      <w:w w:val="100"/>
      <w:position w:val="-1"/>
      <w:sz w:val="22"/>
      <w:szCs w:val="22"/>
      <w:effect w:val="none"/>
      <w:vertAlign w:val="baseline"/>
      <w:cs w:val="0"/>
      <w:em w:val="none"/>
      <w:lang w:eastAsia="es-ES"/>
    </w:rPr>
  </w:style>
  <w:style w:type="table" w:styleId="a3" w:customStyle="1">
    <w:basedOn w:val="TableNormal0"/>
    <w:tblPr>
      <w:tblStyleRowBandSize w:val="1"/>
      <w:tblStyleColBandSize w:val="1"/>
      <w:tblCellMar>
        <w:left w:w="108.0" w:type="dxa"/>
        <w:right w:w="108.0" w:type="dxa"/>
      </w:tblCellMar>
    </w:tblPr>
  </w:style>
  <w:style w:type="paragraph" w:styleId="Prrafodelista">
    <w:name w:val="List Paragraph"/>
    <w:basedOn w:val="Normal"/>
    <w:uiPriority w:val="34"/>
    <w:qFormat w:val="1"/>
    <w:rsid w:val="00CA42A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prensa@serga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INlYfnqsgISkVbCSZrfhCcf5hQ==">CgMxLjAyCGguZ2pkZ3hzOAByITFkLVo3YkVGRHpkbngxeFMtcWJfbENESF9DMU9lZGM0Uw==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2024-04-15T12:18:00Z</dcterms:created>
  <dc:creator>Sergat</dc:creator>
</cp:coreProperties>
</file>