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7">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jc w:val="center"/>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actualiza su política de contratación de pilotos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center"/>
        <w:rPr>
          <w:rFonts w:ascii="Century Gothic" w:cs="Century Gothic" w:eastAsia="Century Gothic" w:hAnsi="Century Gothic"/>
          <w:b w:val="0"/>
          <w:i w:val="1"/>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1"/>
          <w:smallCaps w:val="0"/>
          <w:strike w:val="0"/>
          <w:color w:val="000000"/>
          <w:sz w:val="22"/>
          <w:szCs w:val="22"/>
          <w:u w:val="none"/>
          <w:shd w:fill="auto" w:val="clear"/>
          <w:vertAlign w:val="baseline"/>
          <w:rtl w:val="0"/>
        </w:rPr>
        <w:t xml:space="preserve">La aerolínea amplía sus funciones, salarios, prestaciones y criterios de elegibilidad</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EAU, 30 de abril de 2024: </w:t>
      </w:r>
      <w:r w:rsidDel="00000000" w:rsidR="00000000" w:rsidRPr="00000000">
        <w:rPr>
          <w:rFonts w:ascii="Century Gothic" w:cs="Century Gothic" w:eastAsia="Century Gothic" w:hAnsi="Century Gothic"/>
          <w:sz w:val="22"/>
          <w:szCs w:val="22"/>
          <w:rtl w:val="0"/>
        </w:rPr>
        <w:t xml:space="preserve">Al mando de emocionantes despegues y aterrizajes sin contratiempos, los pilotos desempeñan un papel vital en la conexión y transformación del mundo, ya se trate de personas, empresas o comercio, entre otros. Con motivo del Día del Piloto, el pasado 26 de abril, Emirates ha anunciado novedades en la contratación, incluidos salarios más altos, nuevas funciones y un cambio </w:t>
      </w:r>
      <w:r w:rsidDel="00000000" w:rsidR="00000000" w:rsidRPr="00000000">
        <w:rPr>
          <w:rFonts w:ascii="Century Gothic" w:cs="Century Gothic" w:eastAsia="Century Gothic" w:hAnsi="Century Gothic"/>
          <w:sz w:val="22"/>
          <w:szCs w:val="22"/>
          <w:rtl w:val="0"/>
        </w:rPr>
        <w:t xml:space="preserve">significativo</w:t>
      </w:r>
      <w:r w:rsidDel="00000000" w:rsidR="00000000" w:rsidRPr="00000000">
        <w:rPr>
          <w:rFonts w:ascii="Century Gothic" w:cs="Century Gothic" w:eastAsia="Century Gothic" w:hAnsi="Century Gothic"/>
          <w:sz w:val="22"/>
          <w:szCs w:val="22"/>
          <w:rtl w:val="0"/>
        </w:rPr>
        <w:t xml:space="preserve"> en la elegibilidad.</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Primeros oficiales -</w:t>
      </w:r>
      <w:r w:rsidDel="00000000" w:rsidR="00000000" w:rsidRPr="00000000">
        <w:rPr>
          <w:rFonts w:ascii="Century Gothic" w:cs="Century Gothic" w:eastAsia="Century Gothic" w:hAnsi="Century Gothic"/>
          <w:b w:val="1"/>
          <w:sz w:val="22"/>
          <w:szCs w:val="22"/>
          <w:rtl w:val="0"/>
        </w:rPr>
        <w:t xml:space="preserve"> sin habilitación de tipo</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da la bienvenida a los primeros oficiales </w:t>
      </w:r>
      <w:r w:rsidDel="00000000" w:rsidR="00000000" w:rsidRPr="00000000">
        <w:rPr>
          <w:rFonts w:ascii="Century Gothic" w:cs="Century Gothic" w:eastAsia="Century Gothic" w:hAnsi="Century Gothic"/>
          <w:sz w:val="22"/>
          <w:szCs w:val="22"/>
          <w:rtl w:val="0"/>
        </w:rPr>
        <w:t xml:space="preserve">sin habilitación de tipo,</w:t>
      </w:r>
      <w:r w:rsidDel="00000000" w:rsidR="00000000" w:rsidRPr="00000000">
        <w:rPr>
          <w:rFonts w:ascii="Century Gothic" w:cs="Century Gothic" w:eastAsia="Century Gothic" w:hAnsi="Century Gothic"/>
          <w:sz w:val="22"/>
          <w:szCs w:val="22"/>
          <w:rtl w:val="0"/>
        </w:rPr>
        <w:t xml:space="preserve"> es decir, aquellos que sólo tienen experiencia en turbohélices o reactores. Estos pilotos tendrán ahora la oportunidad de recibir una formación completa para volar la flota de 144 aviones Boeing de fuselaje ancho de la aerolínea en su red de más de 140 destinos. Los primeros oficiales también podrán volar 205 de los nuevos Boeing 777-X una vez se incorporen a la flota a partir de 2025.</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Programa de mando acelerado para Boeing 777</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ha ampliado su Programa de Mando Acelerado (ACP, en inglés) </w:t>
      </w:r>
      <w:r w:rsidDel="00000000" w:rsidR="00000000" w:rsidRPr="00000000">
        <w:rPr>
          <w:rFonts w:ascii="Century Gothic" w:cs="Century Gothic" w:eastAsia="Century Gothic" w:hAnsi="Century Gothic"/>
          <w:sz w:val="22"/>
          <w:szCs w:val="22"/>
          <w:rtl w:val="0"/>
        </w:rPr>
        <w:t xml:space="preserve">a</w:t>
      </w:r>
      <w:r w:rsidDel="00000000" w:rsidR="00000000" w:rsidRPr="00000000">
        <w:rPr>
          <w:rFonts w:ascii="Century Gothic" w:cs="Century Gothic" w:eastAsia="Century Gothic" w:hAnsi="Century Gothic"/>
          <w:sz w:val="22"/>
          <w:szCs w:val="22"/>
          <w:rtl w:val="0"/>
        </w:rPr>
        <w:t xml:space="preserve"> su flota de Boeing 777, que hasta ahora estaba reservado a su popular A380. Se trata de una oportunidad </w:t>
      </w:r>
      <w:r w:rsidDel="00000000" w:rsidR="00000000" w:rsidRPr="00000000">
        <w:rPr>
          <w:rFonts w:ascii="Century Gothic" w:cs="Century Gothic" w:eastAsia="Century Gothic" w:hAnsi="Century Gothic"/>
          <w:sz w:val="22"/>
          <w:szCs w:val="22"/>
          <w:rtl w:val="0"/>
        </w:rPr>
        <w:t xml:space="preserve">única</w:t>
      </w:r>
      <w:r w:rsidDel="00000000" w:rsidR="00000000" w:rsidRPr="00000000">
        <w:rPr>
          <w:rFonts w:ascii="Century Gothic" w:cs="Century Gothic" w:eastAsia="Century Gothic" w:hAnsi="Century Gothic"/>
          <w:sz w:val="22"/>
          <w:szCs w:val="22"/>
          <w:rtl w:val="0"/>
        </w:rPr>
        <w:t xml:space="preserve"> para que los </w:t>
      </w:r>
      <w:r w:rsidDel="00000000" w:rsidR="00000000" w:rsidRPr="00000000">
        <w:rPr>
          <w:rFonts w:ascii="Century Gothic" w:cs="Century Gothic" w:eastAsia="Century Gothic" w:hAnsi="Century Gothic"/>
          <w:sz w:val="22"/>
          <w:szCs w:val="22"/>
          <w:rtl w:val="0"/>
        </w:rPr>
        <w:t xml:space="preserve">comandantes</w:t>
      </w:r>
      <w:r w:rsidDel="00000000" w:rsidR="00000000" w:rsidRPr="00000000">
        <w:rPr>
          <w:rFonts w:ascii="Century Gothic" w:cs="Century Gothic" w:eastAsia="Century Gothic" w:hAnsi="Century Gothic"/>
          <w:sz w:val="22"/>
          <w:szCs w:val="22"/>
          <w:rtl w:val="0"/>
        </w:rPr>
        <w:t xml:space="preserve"> que vuelan aviones de fuselaje estrecho “</w:t>
      </w:r>
      <w:r w:rsidDel="00000000" w:rsidR="00000000" w:rsidRPr="00000000">
        <w:rPr>
          <w:rFonts w:ascii="Century Gothic" w:cs="Century Gothic" w:eastAsia="Century Gothic" w:hAnsi="Century Gothic"/>
          <w:sz w:val="22"/>
          <w:szCs w:val="22"/>
          <w:rtl w:val="0"/>
        </w:rPr>
        <w:t xml:space="preserve">se gradúen</w:t>
      </w:r>
      <w:r w:rsidDel="00000000" w:rsidR="00000000" w:rsidRPr="00000000">
        <w:rPr>
          <w:rFonts w:ascii="Century Gothic" w:cs="Century Gothic" w:eastAsia="Century Gothic" w:hAnsi="Century Gothic"/>
          <w:i w:val="1"/>
          <w:sz w:val="22"/>
          <w:szCs w:val="22"/>
          <w:rtl w:val="0"/>
        </w:rPr>
        <w:t xml:space="preserve">”</w:t>
      </w:r>
      <w:r w:rsidDel="00000000" w:rsidR="00000000" w:rsidRPr="00000000">
        <w:rPr>
          <w:rFonts w:ascii="Century Gothic" w:cs="Century Gothic" w:eastAsia="Century Gothic" w:hAnsi="Century Gothic"/>
          <w:sz w:val="22"/>
          <w:szCs w:val="22"/>
          <w:rtl w:val="0"/>
        </w:rPr>
        <w:t xml:space="preserve"> en fuselaje ancho con el programa de promoción rápida de Emirates.</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Comandante</w:t>
      </w:r>
      <w:r w:rsidDel="00000000" w:rsidR="00000000" w:rsidRPr="00000000">
        <w:rPr>
          <w:rFonts w:ascii="Century Gothic" w:cs="Century Gothic" w:eastAsia="Century Gothic" w:hAnsi="Century Gothic"/>
          <w:b w:val="1"/>
          <w:sz w:val="22"/>
          <w:szCs w:val="22"/>
          <w:rtl w:val="0"/>
        </w:rPr>
        <w:t xml:space="preserve"> de entrada directa - flota A350</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aerolínea convoca ahora a </w:t>
      </w:r>
      <w:r w:rsidDel="00000000" w:rsidR="00000000" w:rsidRPr="00000000">
        <w:rPr>
          <w:rFonts w:ascii="Century Gothic" w:cs="Century Gothic" w:eastAsia="Century Gothic" w:hAnsi="Century Gothic"/>
          <w:i w:val="1"/>
          <w:sz w:val="22"/>
          <w:szCs w:val="22"/>
          <w:rtl w:val="0"/>
        </w:rPr>
        <w:t xml:space="preserve">Direct Entry Captains</w:t>
      </w:r>
      <w:r w:rsidDel="00000000" w:rsidR="00000000" w:rsidRPr="00000000">
        <w:rPr>
          <w:rFonts w:ascii="Century Gothic" w:cs="Century Gothic" w:eastAsia="Century Gothic" w:hAnsi="Century Gothic"/>
          <w:sz w:val="22"/>
          <w:szCs w:val="22"/>
          <w:rtl w:val="0"/>
        </w:rPr>
        <w:t xml:space="preserve"> (DEC) para dirigir su esperada flota de A350 compuesta por 65 aviones. Como incentivo adicional, Emirates también ha aumentado el salario base de las nuevas incorporaciones, tanto en los A350 como en los A380. Las entregas de los A350 comenzarán a mediados de año y prestarán servicio tanto a destinos nuevos como a los ya existentes. La aerolínea sigue aceptando DEC para su flota de A380.</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Primeros oficiales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ofrece paquetes salariales mejorados para primeros oficiales con experiencia de más de 4000 horas de vuelo en modernos aviones Airbus </w:t>
      </w:r>
      <w:r w:rsidDel="00000000" w:rsidR="00000000" w:rsidRPr="00000000">
        <w:rPr>
          <w:rFonts w:ascii="Century Gothic" w:cs="Century Gothic" w:eastAsia="Century Gothic" w:hAnsi="Century Gothic"/>
          <w:i w:val="1"/>
          <w:sz w:val="22"/>
          <w:szCs w:val="22"/>
          <w:rtl w:val="0"/>
        </w:rPr>
        <w:t xml:space="preserve">fly-by-wire</w:t>
      </w:r>
      <w:r w:rsidDel="00000000" w:rsidR="00000000" w:rsidRPr="00000000">
        <w:rPr>
          <w:rFonts w:ascii="Century Gothic" w:cs="Century Gothic" w:eastAsia="Century Gothic" w:hAnsi="Century Gothic"/>
          <w:sz w:val="22"/>
          <w:szCs w:val="22"/>
          <w:rtl w:val="0"/>
        </w:rPr>
        <w:t xml:space="preserve"> o Boeing.</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Los pilotos interesados que deseen saber más acerca de las distintas funciones en la cabina de vuelo, pueden obtener más información sobre los requisitos de acceso </w:t>
      </w:r>
      <w:hyperlink r:id="rId8">
        <w:r w:rsidDel="00000000" w:rsidR="00000000" w:rsidRPr="00000000">
          <w:rPr>
            <w:rFonts w:ascii="Century Gothic" w:cs="Century Gothic" w:eastAsia="Century Gothic" w:hAnsi="Century Gothic"/>
            <w:color w:val="1155cc"/>
            <w:sz w:val="22"/>
            <w:szCs w:val="22"/>
            <w:u w:val="single"/>
            <w:rtl w:val="0"/>
          </w:rPr>
          <w:t xml:space="preserve">aquí</w:t>
        </w:r>
      </w:hyperlink>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 la actualidad, Emirates cuenta con más de 4400 pilotos. En 2023, la aerolínea contrató a más de 420 pilotos con sus programas de contratación (</w:t>
      </w:r>
      <w:r w:rsidDel="00000000" w:rsidR="00000000" w:rsidRPr="00000000">
        <w:rPr>
          <w:rFonts w:ascii="Century Gothic" w:cs="Century Gothic" w:eastAsia="Century Gothic" w:hAnsi="Century Gothic"/>
          <w:sz w:val="22"/>
          <w:szCs w:val="22"/>
          <w:rtl w:val="0"/>
        </w:rPr>
        <w:t xml:space="preserve">comandantes </w:t>
      </w:r>
      <w:r w:rsidDel="00000000" w:rsidR="00000000" w:rsidRPr="00000000">
        <w:rPr>
          <w:rFonts w:ascii="Century Gothic" w:cs="Century Gothic" w:eastAsia="Century Gothic" w:hAnsi="Century Gothic"/>
          <w:sz w:val="22"/>
          <w:szCs w:val="22"/>
          <w:rtl w:val="0"/>
        </w:rPr>
        <w:t xml:space="preserve">de entrada directa, mando acelerado y primeros oficiales).</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La vida en Emirates</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renueva regularmente su flota, ya sea mediante pedidos de aviones de fuselaje ancho o modernizando los ya existentes. Los pilotos de Emirates disfrutan operando la flota más moderna del mundo, compuesta por 260 aviones de fuselaje ancho Airbus A380 y Boeing 777. Desde los picos montañosos más altos del mundo hasta océanos, volcanes, bosques, desiertos e incluso auroras boreales: lo ven todo mientras sobrevuelan la red de la aerolínea, que abarca todos los continentes y más de 140 destinos.</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Los pilotos de Emirates completan programas de formación internos basados en pruebas y competencias con instructores altamente cualificados en entornos diseñados para la ocasión. Sus vanguardistas instalaciones de formación cuentan con 10 simuladores de vuelo para Boeing 777 y Airbus A380.</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El año pasado, la aerolínea anunció una inversión de 135 millones de dólares para construir unas modernas instalaciones de formación que albergarán seis </w:t>
      </w:r>
      <w:r w:rsidDel="00000000" w:rsidR="00000000" w:rsidRPr="00000000">
        <w:rPr>
          <w:rFonts w:ascii="Century Gothic" w:cs="Century Gothic" w:eastAsia="Century Gothic" w:hAnsi="Century Gothic"/>
          <w:i w:val="1"/>
          <w:sz w:val="22"/>
          <w:szCs w:val="22"/>
          <w:rtl w:val="0"/>
        </w:rPr>
        <w:t xml:space="preserve">Full Flight Simulator Bays</w:t>
      </w:r>
      <w:r w:rsidDel="00000000" w:rsidR="00000000" w:rsidRPr="00000000">
        <w:rPr>
          <w:rFonts w:ascii="Century Gothic" w:cs="Century Gothic" w:eastAsia="Century Gothic" w:hAnsi="Century Gothic"/>
          <w:sz w:val="22"/>
          <w:szCs w:val="22"/>
          <w:rtl w:val="0"/>
        </w:rPr>
        <w:t xml:space="preserve"> (FFS) para sus aviones A350 y 777X. Está previsto que las nuevas instalaciones, de cerca de 6000 metros cuadrados, se inauguren a finales de este año.</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Los pilotos de Emirates reciben un salario competitivo libre de impuestos, pueden optar a una participación en los beneficios y disponen de amplias villas en comunidades privadas, subsidio de educación y una excelente cobertura de vida, médica y dental. También tienen acceso a un </w:t>
      </w:r>
      <w:r w:rsidDel="00000000" w:rsidR="00000000" w:rsidRPr="00000000">
        <w:rPr>
          <w:rFonts w:ascii="Century Gothic" w:cs="Century Gothic" w:eastAsia="Century Gothic" w:hAnsi="Century Gothic"/>
          <w:sz w:val="22"/>
          <w:szCs w:val="22"/>
          <w:rtl w:val="0"/>
        </w:rPr>
        <w:t xml:space="preserve">fondo de previsión</w:t>
      </w:r>
      <w:r w:rsidDel="00000000" w:rsidR="00000000" w:rsidRPr="00000000">
        <w:rPr>
          <w:rFonts w:ascii="Century Gothic" w:cs="Century Gothic" w:eastAsia="Century Gothic" w:hAnsi="Century Gothic"/>
          <w:sz w:val="22"/>
          <w:szCs w:val="22"/>
          <w:rtl w:val="0"/>
        </w:rPr>
        <w:t xml:space="preserve"> de categoría mundial y reciben asesoramiento financiero periódico y gratuito. Los pilotos disfrutan de transporte con chófer de ida y vuelta al trabajo, servicios de lavandería, 42 días de vacaciones anuales, así como ventajas de carga y viajes con descuento para sus familiares y amigos.</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comunidad de pilotos de Emirates tiene su base en Dubái, una de las ciudades más seguras, vibrantes, multiculturales y tecnológicamente avanzadas del mundo. Los grandes acontecimientos deportivos anuales, una amplia gama de actividades de ocio, hospitalidad y gastronomía de primera clase, atracciones espectaculares, escuelas y hospitales internacionales y una excelente infraestructura se unen para hacer de Dubái una ciudad elegida por millones de expatriados.</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Impulso a la contratación</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medida que continúa su trayectoria de crecimiento y se prepara para empezar a recibir sus 65 A350 a partir de mediados de año y su combinación de 205 777-9 y 777-8 en 2025, la aerolínea está acelerando su campaña de contratación de pilotos. En 2024, el equipo de contratación de Emirates organizará </w:t>
      </w:r>
      <w:r w:rsidDel="00000000" w:rsidR="00000000" w:rsidRPr="00000000">
        <w:rPr>
          <w:rFonts w:ascii="Century Gothic" w:cs="Century Gothic" w:eastAsia="Century Gothic" w:hAnsi="Century Gothic"/>
          <w:i w:val="1"/>
          <w:sz w:val="22"/>
          <w:szCs w:val="22"/>
          <w:rtl w:val="0"/>
        </w:rPr>
        <w:t xml:space="preserve">roadshows</w:t>
      </w:r>
      <w:r w:rsidDel="00000000" w:rsidR="00000000" w:rsidRPr="00000000">
        <w:rPr>
          <w:rFonts w:ascii="Century Gothic" w:cs="Century Gothic" w:eastAsia="Century Gothic" w:hAnsi="Century Gothic"/>
          <w:sz w:val="22"/>
          <w:szCs w:val="22"/>
          <w:rtl w:val="0"/>
        </w:rPr>
        <w:t xml:space="preserve"> en más de 26 ciudades de más de 18 países. Los cambios en los criterios de elegibilidad y los paquetes salariales representan un paso adelante en su compromiso de atraer a los mejores talentos a nivel mundial y garantizar </w:t>
      </w:r>
      <w:r w:rsidDel="00000000" w:rsidR="00000000" w:rsidRPr="00000000">
        <w:rPr>
          <w:rFonts w:ascii="Century Gothic" w:cs="Century Gothic" w:eastAsia="Century Gothic" w:hAnsi="Century Gothic"/>
          <w:sz w:val="22"/>
          <w:szCs w:val="22"/>
          <w:rtl w:val="0"/>
        </w:rPr>
        <w:t xml:space="preserve">al cliente </w:t>
      </w:r>
      <w:r w:rsidDel="00000000" w:rsidR="00000000" w:rsidRPr="00000000">
        <w:rPr>
          <w:rFonts w:ascii="Century Gothic" w:cs="Century Gothic" w:eastAsia="Century Gothic" w:hAnsi="Century Gothic"/>
          <w:sz w:val="22"/>
          <w:szCs w:val="22"/>
          <w:rtl w:val="0"/>
        </w:rPr>
        <w:t xml:space="preserve">una experiencia perfecta en cada viaje. Para consultar los criterios de elegibilidad y solicitar posiciones de piloto, haga clic </w:t>
      </w:r>
      <w:hyperlink r:id="rId9">
        <w:r w:rsidDel="00000000" w:rsidR="00000000" w:rsidRPr="00000000">
          <w:rPr>
            <w:rFonts w:ascii="Century Gothic" w:cs="Century Gothic" w:eastAsia="Century Gothic" w:hAnsi="Century Gothic"/>
            <w:color w:val="1155cc"/>
            <w:sz w:val="22"/>
            <w:szCs w:val="22"/>
            <w:u w:val="single"/>
            <w:rtl w:val="0"/>
          </w:rPr>
          <w:t xml:space="preserve">aquí</w:t>
        </w:r>
      </w:hyperlink>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Emirates</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headerReference r:id="rId10"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pBdr>
        <w:top w:space="0" w:sz="0" w:val="nil"/>
        <w:left w:space="0" w:sz="0" w:val="nil"/>
        <w:bottom w:space="0" w:sz="0" w:val="nil"/>
        <w:right w:space="0" w:sz="0" w:val="nil"/>
        <w:between w:space="0" w:sz="0" w:val="nil"/>
      </w:pBdr>
      <w:spacing w:after="120" w:before="480"/>
      <w:outlineLvl w:val="0"/>
    </w:pPr>
    <w:rPr>
      <w:b w:val="1"/>
      <w:color w:val="000000"/>
      <w:sz w:val="48"/>
      <w:szCs w:val="48"/>
    </w:rPr>
  </w:style>
  <w:style w:type="paragraph" w:styleId="Ttulo2">
    <w:name w:val="heading 2"/>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80" w:before="360"/>
      <w:outlineLvl w:val="1"/>
    </w:pPr>
    <w:rPr>
      <w:b w:val="1"/>
      <w:color w:val="000000"/>
      <w:sz w:val="36"/>
      <w:szCs w:val="36"/>
    </w:rPr>
  </w:style>
  <w:style w:type="paragraph" w:styleId="Ttulo3">
    <w:name w:val="heading 3"/>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80" w:before="280"/>
      <w:outlineLvl w:val="2"/>
    </w:pPr>
    <w:rPr>
      <w:b w:val="1"/>
      <w:color w:val="000000"/>
      <w:sz w:val="28"/>
      <w:szCs w:val="28"/>
    </w:rPr>
  </w:style>
  <w:style w:type="paragraph" w:styleId="Ttulo4">
    <w:name w:val="heading 4"/>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40" w:before="240"/>
      <w:outlineLvl w:val="3"/>
    </w:pPr>
    <w:rPr>
      <w:b w:val="1"/>
      <w:color w:val="000000"/>
    </w:rPr>
  </w:style>
  <w:style w:type="paragraph" w:styleId="Ttulo5">
    <w:name w:val="heading 5"/>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40" w:before="220"/>
      <w:outlineLvl w:val="4"/>
    </w:pPr>
    <w:rPr>
      <w:b w:val="1"/>
      <w:color w:val="000000"/>
      <w:sz w:val="22"/>
      <w:szCs w:val="22"/>
    </w:rPr>
  </w:style>
  <w:style w:type="paragraph" w:styleId="Ttulo6">
    <w:name w:val="heading 6"/>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40" w:before="200"/>
      <w:outlineLvl w:val="5"/>
    </w:pPr>
    <w:rPr>
      <w:b w:val="1"/>
      <w:color w:val="000000"/>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pBdr>
        <w:top w:space="0" w:sz="0" w:val="nil"/>
        <w:left w:space="0" w:sz="0" w:val="nil"/>
        <w:bottom w:space="0" w:sz="0" w:val="nil"/>
        <w:right w:space="0" w:sz="0" w:val="nil"/>
        <w:between w:space="0" w:sz="0" w:val="nil"/>
      </w:pBdr>
      <w:spacing w:after="120" w:before="480"/>
    </w:pPr>
    <w:rPr>
      <w:b w:val="1"/>
      <w:color w:val="000000"/>
      <w:sz w:val="72"/>
      <w:szCs w:val="72"/>
    </w:rPr>
  </w:style>
  <w:style w:type="paragraph" w:styleId="Subttulo">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val="1"/>
    <w:rsid w:val="004348AD"/>
    <w:pPr>
      <w:ind w:left="720"/>
      <w:contextualSpacing w:val="1"/>
    </w:pPr>
  </w:style>
  <w:style w:type="character" w:styleId="Hipervnculo">
    <w:name w:val="Hyperlink"/>
    <w:basedOn w:val="Fuentedeprrafopredeter"/>
    <w:uiPriority w:val="99"/>
    <w:unhideWhenUsed w:val="1"/>
    <w:rsid w:val="00D15796"/>
    <w:rPr>
      <w:color w:val="0000ff" w:themeColor="hyperlink"/>
      <w:u w:val="single"/>
    </w:rPr>
  </w:style>
  <w:style w:type="character" w:styleId="Mencinsinresolver1" w:customStyle="1">
    <w:name w:val="Mención sin resolver1"/>
    <w:basedOn w:val="Fuentedeprrafopredeter"/>
    <w:uiPriority w:val="99"/>
    <w:semiHidden w:val="1"/>
    <w:unhideWhenUsed w:val="1"/>
    <w:rsid w:val="007E7562"/>
    <w:rPr>
      <w:color w:val="605e5c"/>
      <w:shd w:color="auto" w:fill="e1dfdd" w:val="clear"/>
    </w:rPr>
  </w:style>
  <w:style w:type="character" w:styleId="Hipervnculovisitado">
    <w:name w:val="FollowedHyperlink"/>
    <w:basedOn w:val="Fuentedeprrafopredeter"/>
    <w:uiPriority w:val="99"/>
    <w:semiHidden w:val="1"/>
    <w:unhideWhenUsed w:val="1"/>
    <w:rsid w:val="007E7562"/>
    <w:rPr>
      <w:color w:val="800080" w:themeColor="followedHyperlink"/>
      <w:u w:val="single"/>
    </w:rPr>
  </w:style>
  <w:style w:type="paragraph" w:styleId="Encabezado">
    <w:name w:val="header"/>
    <w:basedOn w:val="Normal"/>
    <w:link w:val="EncabezadoCar"/>
    <w:uiPriority w:val="99"/>
    <w:unhideWhenUsed w:val="1"/>
    <w:rsid w:val="003E7D4F"/>
    <w:pPr>
      <w:tabs>
        <w:tab w:val="center" w:pos="4252"/>
        <w:tab w:val="right" w:pos="8504"/>
      </w:tabs>
    </w:pPr>
  </w:style>
  <w:style w:type="character" w:styleId="EncabezadoCar" w:customStyle="1">
    <w:name w:val="Encabezado Car"/>
    <w:basedOn w:val="Fuentedeprrafopredeter"/>
    <w:link w:val="Encabezado"/>
    <w:uiPriority w:val="99"/>
    <w:rsid w:val="003E7D4F"/>
  </w:style>
  <w:style w:type="paragraph" w:styleId="Piedepgina">
    <w:name w:val="footer"/>
    <w:basedOn w:val="Normal"/>
    <w:link w:val="PiedepginaCar"/>
    <w:uiPriority w:val="99"/>
    <w:unhideWhenUsed w:val="1"/>
    <w:rsid w:val="003E7D4F"/>
    <w:pPr>
      <w:tabs>
        <w:tab w:val="center" w:pos="4252"/>
        <w:tab w:val="right" w:pos="8504"/>
      </w:tabs>
    </w:pPr>
  </w:style>
  <w:style w:type="character" w:styleId="PiedepginaCar" w:customStyle="1">
    <w:name w:val="Pie de página Car"/>
    <w:basedOn w:val="Fuentedeprrafopredeter"/>
    <w:link w:val="Piedepgina"/>
    <w:uiPriority w:val="99"/>
    <w:rsid w:val="003E7D4F"/>
  </w:style>
  <w:style w:type="paragraph" w:styleId="NormalWeb">
    <w:name w:val="Normal (Web)"/>
    <w:basedOn w:val="Normal"/>
    <w:uiPriority w:val="99"/>
    <w:unhideWhenUsed w:val="1"/>
    <w:rsid w:val="001863FF"/>
    <w:pPr>
      <w:spacing w:after="100" w:afterAutospacing="1" w:before="100" w:beforeAutospacing="1"/>
    </w:pPr>
    <w:rPr>
      <w:rFonts w:ascii="Calibri" w:cs="Calibri" w:hAnsi="Calibri" w:eastAsiaTheme="minorHAnsi"/>
      <w:sz w:val="22"/>
      <w:szCs w:val="22"/>
      <w:lang w:val="en-GB"/>
    </w:rPr>
  </w:style>
  <w:style w:type="character" w:styleId="Textoennegrita">
    <w:name w:val="Strong"/>
    <w:basedOn w:val="Fuentedeprrafopredeter"/>
    <w:uiPriority w:val="22"/>
    <w:qFormat w:val="1"/>
    <w:rsid w:val="009368A3"/>
    <w:rPr>
      <w:b w:val="1"/>
      <w:bCs w:val="1"/>
    </w:rPr>
  </w:style>
  <w:style w:type="character" w:styleId="Mencinsinresolver">
    <w:name w:val="Unresolved Mention"/>
    <w:basedOn w:val="Fuentedeprrafopredeter"/>
    <w:uiPriority w:val="99"/>
    <w:semiHidden w:val="1"/>
    <w:unhideWhenUsed w:val="1"/>
    <w:rsid w:val="005647D6"/>
    <w:rPr>
      <w:color w:val="605e5c"/>
      <w:shd w:color="auto" w:fill="e1dfdd" w:val="clear"/>
    </w:rPr>
  </w:style>
  <w:style w:type="paragraph" w:styleId="Textocomentario">
    <w:name w:val="annotation text"/>
    <w:basedOn w:val="Normal"/>
    <w:link w:val="TextocomentarioCar"/>
    <w:uiPriority w:val="99"/>
    <w:semiHidden w:val="1"/>
    <w:unhideWhenUsed w:val="1"/>
    <w:rsid w:val="005647D6"/>
    <w:pPr>
      <w:spacing w:after="160"/>
    </w:pPr>
    <w:rPr>
      <w:rFonts w:asciiTheme="minorHAnsi" w:cstheme="minorBidi" w:eastAsiaTheme="minorEastAsia" w:hAnsiTheme="minorHAnsi"/>
      <w:sz w:val="20"/>
      <w:szCs w:val="20"/>
      <w:lang w:eastAsia="zh-CN" w:val="en-GB"/>
    </w:rPr>
  </w:style>
  <w:style w:type="character" w:styleId="TextocomentarioCar" w:customStyle="1">
    <w:name w:val="Texto comentario Car"/>
    <w:basedOn w:val="Fuentedeprrafopredeter"/>
    <w:link w:val="Textocomentario"/>
    <w:uiPriority w:val="99"/>
    <w:semiHidden w:val="1"/>
    <w:rsid w:val="005647D6"/>
    <w:rPr>
      <w:rFonts w:asciiTheme="minorHAnsi" w:cstheme="minorBidi" w:eastAsiaTheme="minorEastAsia" w:hAnsiTheme="minorHAnsi"/>
      <w:sz w:val="20"/>
      <w:szCs w:val="20"/>
      <w:lang w:eastAsia="zh-CN" w:val="en-GB"/>
    </w:rPr>
  </w:style>
  <w:style w:type="character" w:styleId="PrrafodelistaCar" w:customStyle="1">
    <w:name w:val="Párrafo de lista Car"/>
    <w:aliases w:val="numbered Car,Paragraphe de liste1 Car,Bullet List Car,FooterText Car"/>
    <w:basedOn w:val="Fuentedeprrafopredeter"/>
    <w:link w:val="Prrafodelista"/>
    <w:uiPriority w:val="34"/>
    <w:locked w:val="1"/>
    <w:rsid w:val="005647D6"/>
  </w:style>
  <w:style w:type="character" w:styleId="wordsection1Char" w:customStyle="1">
    <w:name w:val="wordsection1 Char"/>
    <w:basedOn w:val="Fuentedeprrafopredeter"/>
    <w:link w:val="wordsection1"/>
    <w:uiPriority w:val="99"/>
    <w:locked w:val="1"/>
    <w:rsid w:val="005647D6"/>
    <w:rPr>
      <w:rFonts w:ascii="Calibri" w:cs="Calibri" w:hAnsi="Calibri"/>
    </w:rPr>
  </w:style>
  <w:style w:type="paragraph" w:styleId="wordsection1" w:customStyle="1">
    <w:name w:val="wordsection1"/>
    <w:basedOn w:val="Normal"/>
    <w:link w:val="wordsection1Char"/>
    <w:uiPriority w:val="99"/>
    <w:rsid w:val="005647D6"/>
    <w:rPr>
      <w:rFonts w:ascii="Calibri" w:cs="Calibri" w:hAnsi="Calibri"/>
    </w:rPr>
  </w:style>
  <w:style w:type="character" w:styleId="Refdecomentario">
    <w:name w:val="annotation reference"/>
    <w:basedOn w:val="Fuentedeprrafopredeter"/>
    <w:uiPriority w:val="99"/>
    <w:semiHidden w:val="1"/>
    <w:unhideWhenUsed w:val="1"/>
    <w:rsid w:val="005647D6"/>
    <w:rPr>
      <w:sz w:val="16"/>
      <w:szCs w:val="16"/>
    </w:rPr>
  </w:style>
  <w:style w:type="character" w:styleId="normaltextrun" w:customStyle="1">
    <w:name w:val="normaltextrun"/>
    <w:basedOn w:val="Fuentedeprrafopredeter"/>
    <w:rsid w:val="005647D6"/>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www.emiratesgroupcareers.com/pilo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rensa@sergat.com" TargetMode="External"/><Relationship Id="rId8" Type="http://schemas.openxmlformats.org/officeDocument/2006/relationships/hyperlink" Target="https://www.emiratesgroupcareers.com/pilo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PAJClrIgCDvqkLNU7uWeKsEcYw==">CgMxLjA4AGomChRzdWdnZXN0Ljc5ZTZzaXk5b2MxZRIOQW5kcmVhIFJlYm9sbG9qJgoUc3VnZ2VzdC43OTM3bzc5MHRiNmgSDkFuZHJlYSBSZWJvbGxvaiYKFHN1Z2dlc3QueHJwZXFycWRoYTBsEg5BbmRyZWEgUmVib2xsb2omChRzdWdnZXN0LnBnemF5ZTJjeXRodxIOQW5kcmVhIFJlYm9sbG9yITFMSm04enlVVmFVSDBEUzdxOWVCNjlwUlFDZDhpZ2NqNA==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2024-04-30T09:01:00Z</dcterms:created>
  <dc:creator>Usuario</dc:creator>
</cp:coreProperties>
</file>