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6229C" w14:textId="77777777" w:rsidR="0015404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>Contacto:</w:t>
      </w:r>
    </w:p>
    <w:p w14:paraId="3CCAA0F3" w14:textId="77777777" w:rsidR="0015404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EMIRATES </w:t>
      </w:r>
    </w:p>
    <w:p w14:paraId="448D61CB" w14:textId="77777777" w:rsidR="0015404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proofErr w:type="spellStart"/>
      <w:r>
        <w:rPr>
          <w:rFonts w:ascii="Century Gothic" w:eastAsia="Century Gothic" w:hAnsi="Century Gothic" w:cs="Century Gothic"/>
          <w:color w:val="000000"/>
          <w:sz w:val="18"/>
          <w:szCs w:val="18"/>
        </w:rPr>
        <w:t>Sergat</w:t>
      </w:r>
      <w:proofErr w:type="spellEnd"/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 </w:t>
      </w:r>
    </w:p>
    <w:p w14:paraId="7EED8893" w14:textId="77777777" w:rsidR="0015404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>Tel.: 93 414 02 10</w:t>
      </w:r>
    </w:p>
    <w:p w14:paraId="799D7BD1" w14:textId="77777777" w:rsidR="0015404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E-mail: </w:t>
      </w:r>
      <w:hyperlink r:id="rId7">
        <w:r>
          <w:rPr>
            <w:rFonts w:ascii="Century Gothic" w:eastAsia="Century Gothic" w:hAnsi="Century Gothic" w:cs="Century Gothic"/>
            <w:color w:val="006699"/>
            <w:sz w:val="18"/>
            <w:szCs w:val="18"/>
          </w:rPr>
          <w:t>prensa@sergat.com</w:t>
        </w:r>
      </w:hyperlink>
      <w:r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 </w:t>
      </w:r>
      <w:r>
        <w:rPr>
          <w:rFonts w:ascii="Century Gothic" w:eastAsia="Century Gothic" w:hAnsi="Century Gothic" w:cs="Century Gothic"/>
          <w:color w:val="0000FF"/>
          <w:sz w:val="18"/>
          <w:szCs w:val="18"/>
        </w:rPr>
        <w:t xml:space="preserve"> </w:t>
      </w:r>
    </w:p>
    <w:tbl>
      <w:tblPr>
        <w:tblStyle w:val="a0"/>
        <w:tblW w:w="5775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5775"/>
      </w:tblGrid>
      <w:tr w:rsidR="00154047" w14:paraId="105108D4" w14:textId="77777777">
        <w:trPr>
          <w:jc w:val="center"/>
        </w:trPr>
        <w:tc>
          <w:tcPr>
            <w:tcW w:w="5775" w:type="dxa"/>
            <w:vAlign w:val="center"/>
          </w:tcPr>
          <w:p w14:paraId="29A3E9E7" w14:textId="77777777" w:rsidR="00154047" w:rsidRDefault="00154047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FCC728D" w14:textId="77777777" w:rsidR="00154047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center"/>
        <w:rPr>
          <w:rFonts w:ascii="Century Gothic" w:eastAsia="Century Gothic" w:hAnsi="Century Gothic" w:cs="Century Gothic"/>
          <w:sz w:val="22"/>
          <w:szCs w:val="22"/>
        </w:rPr>
      </w:pPr>
      <w:proofErr w:type="spellStart"/>
      <w:r>
        <w:rPr>
          <w:rFonts w:ascii="Century Gothic" w:eastAsia="Century Gothic" w:hAnsi="Century Gothic" w:cs="Century Gothic"/>
          <w:b/>
        </w:rPr>
        <w:t>Emirates</w:t>
      </w:r>
      <w:proofErr w:type="spellEnd"/>
      <w:r>
        <w:rPr>
          <w:rFonts w:ascii="Century Gothic" w:eastAsia="Century Gothic" w:hAnsi="Century Gothic" w:cs="Century Gothic"/>
          <w:b/>
        </w:rPr>
        <w:t xml:space="preserve"> firma acuerdos con las Oficinas de Turismo de Malasia y Turquía, y con la Cámara de Comercio de Abu </w:t>
      </w:r>
      <w:proofErr w:type="spellStart"/>
      <w:r>
        <w:rPr>
          <w:rFonts w:ascii="Century Gothic" w:eastAsia="Century Gothic" w:hAnsi="Century Gothic" w:cs="Century Gothic"/>
          <w:b/>
        </w:rPr>
        <w:t>Dhabi</w:t>
      </w:r>
      <w:proofErr w:type="spellEnd"/>
    </w:p>
    <w:p w14:paraId="31535447" w14:textId="77777777" w:rsidR="00154047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b/>
          <w:sz w:val="22"/>
          <w:szCs w:val="22"/>
        </w:rPr>
        <w:t xml:space="preserve">Dubái, EAU, 6 de mayo de 2024: 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En el primer día de la feria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Arabian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Travel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Market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(ATM),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Emirates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firmó varios MOU (memorandos de entendimiento) con Turismo de Malasia, la Agencia de Promoción y Desarrollo Turístico de Turquía (TGA) y la Cámara de Comercio de Abu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Dhabi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. Estos acuerdos ponen de manifiesto el compromiso de la aerolínea para atraer a más viajeros, a través de su red de más de 140 destinos, con la finalidad de que vivan la cultura y las atracciones de cada destino; además de apoyar las oportunidades relacionadas con el turismo para las empresas y PYME locales de los EAU. </w:t>
      </w:r>
    </w:p>
    <w:p w14:paraId="64D50574" w14:textId="77777777" w:rsidR="00154047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Emirates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y Turismo de Malasia trabajarán para promover el turismo e impulsar el tráfico de visitantes a Malasia desde la red global de la aerolínea. El acuerdo fue firmado por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Orhan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Abbas, </w:t>
      </w:r>
      <w:proofErr w:type="gramStart"/>
      <w:r>
        <w:rPr>
          <w:rFonts w:ascii="Century Gothic" w:eastAsia="Century Gothic" w:hAnsi="Century Gothic" w:cs="Century Gothic"/>
          <w:sz w:val="22"/>
          <w:szCs w:val="22"/>
        </w:rPr>
        <w:t>Vicepresidente</w:t>
      </w:r>
      <w:proofErr w:type="gramEnd"/>
      <w:r>
        <w:rPr>
          <w:rFonts w:ascii="Century Gothic" w:eastAsia="Century Gothic" w:hAnsi="Century Gothic" w:cs="Century Gothic"/>
          <w:sz w:val="22"/>
          <w:szCs w:val="22"/>
        </w:rPr>
        <w:t xml:space="preserve"> Senior de Operaciones Comerciales en Extremo Oriente, y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Datuk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(Dr.)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Yasmin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Mahmood, Presidente de Turismo de Malasia, en presencia de Nabil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Sultan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, Vicepresidente Ejecutivo de Ventas de Pasajeros y Gestión de Países de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Emirates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>.</w:t>
      </w:r>
    </w:p>
    <w:p w14:paraId="5B3F0EED" w14:textId="77777777" w:rsidR="00154047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A través de este acuerdo estratégico, ambas partes explorarán campañas publicitarias y tácticas conjuntas y, cuando sea viable,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Emirates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facilitará viajes de familiarización desde mercados clave del Golfo y Oriente Medio a Malasia para generar expectación y demanda.</w:t>
      </w:r>
    </w:p>
    <w:p w14:paraId="1D2C877F" w14:textId="77777777" w:rsidR="00154047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Orhan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Abbas comentó: “Llevamos más de tres décadas ofreciendo a Malasia un servicio de primera clase y productos líderes en el sector, al tiempo que conectamos a la perfección esta popular puerta de entrada con el resto del mundo. Estamos encantados de colaborar con Turismo de Malasia para ayudar a impulsar un mayor </w:t>
      </w:r>
      <w:r>
        <w:rPr>
          <w:rFonts w:ascii="Century Gothic" w:eastAsia="Century Gothic" w:hAnsi="Century Gothic" w:cs="Century Gothic"/>
          <w:sz w:val="22"/>
          <w:szCs w:val="22"/>
        </w:rPr>
        <w:lastRenderedPageBreak/>
        <w:t>crecimiento del tráfico en el mercado, aprovechando nuestra extensa red global, para generar más oportunidades para que los viajeros exploren las ricas atracciones de Malasia, sus monumentos únicos y su patrimonio cultural”.</w:t>
      </w:r>
    </w:p>
    <w:p w14:paraId="5056CE1B" w14:textId="77777777" w:rsidR="00154047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El año pasado,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Emirates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y Batik Air Malaysia lanzaron un acuerdo de código compartido, que permite a los clientes de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Emirates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acceder fácilmente a cinco ciudades malasias nacionales y a tres puntos regionales del Sudeste Asiático a través de Kuala Lumpur.</w:t>
      </w:r>
    </w:p>
    <w:p w14:paraId="2D2DB9C7" w14:textId="77777777" w:rsidR="00154047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Emirates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y la Agencia de Promoción y Desarrollo Turístico de Turquía (TGA) colaborarán para reforzar el atractivo turístico de Turquía en mercados emisores nuevos y existentes. El acuerdo fue firmado por Thierry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Aucoc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proofErr w:type="gramStart"/>
      <w:r>
        <w:rPr>
          <w:rFonts w:ascii="Century Gothic" w:eastAsia="Century Gothic" w:hAnsi="Century Gothic" w:cs="Century Gothic"/>
          <w:sz w:val="22"/>
          <w:szCs w:val="22"/>
        </w:rPr>
        <w:t>Vicepresidente</w:t>
      </w:r>
      <w:proofErr w:type="gramEnd"/>
      <w:r>
        <w:rPr>
          <w:rFonts w:ascii="Century Gothic" w:eastAsia="Century Gothic" w:hAnsi="Century Gothic" w:cs="Century Gothic"/>
          <w:sz w:val="22"/>
          <w:szCs w:val="22"/>
        </w:rPr>
        <w:t xml:space="preserve"> Senior de Operaciones Comerciales de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Emirates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en Europa, y İsmail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Bütün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, Director General de la TGA, en presencia de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Adnan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Kazim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, Vicepresidente y Director Comercial de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Emirates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>.</w:t>
      </w:r>
    </w:p>
    <w:p w14:paraId="4E3CC436" w14:textId="77777777" w:rsidR="00154047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En virtud del nuevo acuerdo,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Emirates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y TGA aunarán esfuerzos para promover el turismo desde mercados clave a través de la red global de la aerolínea, explorar oportunidades para organizar viajes de familiarización a Turquía y colaborar en campañas conjuntas de marketing y promoción que destaquen la singularidad del destino.</w:t>
      </w:r>
    </w:p>
    <w:p w14:paraId="0C4018F2" w14:textId="77777777" w:rsidR="00154047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Thierry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Aucoc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declaró: “Nos complace asociarnos con la Agencia de Promoción y Desarrollo Turístico de Turquía (TGA) para impulsar el tráfico de visitantes a este país. Gracias a nuestra amplia red y a nuestro historial de sólidas asociaciones globales, estamos bien posicionados para apoyar los objetivos turísticos del mercado y las necesidades de conectividad aérea. Turquía es uno de los destinos más populares de nuestra red gracias a su vibrante oferta cultural, su patrimonio de renombre mundial y su fantástica oferta gastronómica. Estamos seguros de que nuestros esfuerzos de colaboración animarán a más viajeros a visitar el país y explorar sus numerosos atractivos”.</w:t>
      </w:r>
    </w:p>
    <w:p w14:paraId="1209C0C7" w14:textId="77777777" w:rsidR="00154047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Turquía recibió alrededor de 56,7 millones de visitantes en 2023 y ha atraído a más de 7 millones de visitantes extranjeros en el primer trimestre de 2024, lo que supone un </w:t>
      </w:r>
      <w:r>
        <w:rPr>
          <w:rFonts w:ascii="Century Gothic" w:eastAsia="Century Gothic" w:hAnsi="Century Gothic" w:cs="Century Gothic"/>
          <w:sz w:val="22"/>
          <w:szCs w:val="22"/>
        </w:rPr>
        <w:lastRenderedPageBreak/>
        <w:t xml:space="preserve">aumento interanual del 13,37 %.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Emirates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opera actualmente 21 vuelos semanales a Estambul con una combinación de Airbus A380 y Boeing 777.</w:t>
      </w:r>
    </w:p>
    <w:p w14:paraId="1B354300" w14:textId="77777777" w:rsidR="00154047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Emirates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y la Cámara de Comercio e Industria de Abu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Dhabi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(ADCCI) colaborarán para ofrecer servicios de viaje con tarifas preferentes a los empleados y miembros de la ADCCI, además de proporcionar a los miembros de la Cámara beneficios adicionales en el marco de su programa </w:t>
      </w:r>
      <w:r>
        <w:rPr>
          <w:rFonts w:ascii="Century Gothic" w:eastAsia="Century Gothic" w:hAnsi="Century Gothic" w:cs="Century Gothic"/>
          <w:i/>
          <w:sz w:val="22"/>
          <w:szCs w:val="22"/>
        </w:rPr>
        <w:t xml:space="preserve">Business </w:t>
      </w:r>
      <w:proofErr w:type="spellStart"/>
      <w:r>
        <w:rPr>
          <w:rFonts w:ascii="Century Gothic" w:eastAsia="Century Gothic" w:hAnsi="Century Gothic" w:cs="Century Gothic"/>
          <w:i/>
          <w:sz w:val="22"/>
          <w:szCs w:val="22"/>
        </w:rPr>
        <w:t>Rewards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para PYME. La ADCCI permitirá a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Emirates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promocionar sus nuevos productos y su red de destinos, así como ofertas especiales, entre los miembros de la Cámara, y la aerolínea también servirá a sus miembros con promociones de marketing a través de sus plataformas digitales. </w:t>
      </w:r>
    </w:p>
    <w:p w14:paraId="65580D05" w14:textId="77777777" w:rsidR="00154047" w:rsidRDefault="00154047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</w:p>
    <w:p w14:paraId="7DF87797" w14:textId="77777777" w:rsidR="00154047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b/>
          <w:i/>
          <w:color w:val="000000"/>
          <w:sz w:val="18"/>
          <w:szCs w:val="18"/>
        </w:rPr>
        <w:t xml:space="preserve">Acerca de </w:t>
      </w:r>
      <w:proofErr w:type="spellStart"/>
      <w:r>
        <w:rPr>
          <w:rFonts w:ascii="Century Gothic" w:eastAsia="Century Gothic" w:hAnsi="Century Gothic" w:cs="Century Gothic"/>
          <w:b/>
          <w:i/>
          <w:color w:val="000000"/>
          <w:sz w:val="18"/>
          <w:szCs w:val="18"/>
        </w:rPr>
        <w:t>Emirates</w:t>
      </w:r>
      <w:proofErr w:type="spellEnd"/>
    </w:p>
    <w:p w14:paraId="4010E8F2" w14:textId="77777777" w:rsidR="00154047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18"/>
          <w:szCs w:val="18"/>
        </w:rPr>
      </w:pP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Emirates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, la mayor aerolínea internacional de pasajeros, opera en España desde 2010. La compañía conecta a los viajeros españoles a través de su </w:t>
      </w:r>
      <w:proofErr w:type="spellStart"/>
      <w:proofErr w:type="gramStart"/>
      <w:r>
        <w:rPr>
          <w:rFonts w:ascii="Century Gothic" w:eastAsia="Century Gothic" w:hAnsi="Century Gothic" w:cs="Century Gothic"/>
          <w:sz w:val="18"/>
          <w:szCs w:val="18"/>
        </w:rPr>
        <w:t>hub</w:t>
      </w:r>
      <w:proofErr w:type="spellEnd"/>
      <w:proofErr w:type="gramEnd"/>
      <w:r>
        <w:rPr>
          <w:rFonts w:ascii="Century Gothic" w:eastAsia="Century Gothic" w:hAnsi="Century Gothic" w:cs="Century Gothic"/>
          <w:sz w:val="18"/>
          <w:szCs w:val="18"/>
        </w:rPr>
        <w:t xml:space="preserve"> global en Dubái con más de 130 destinos en todo el mundo.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Emirates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 une Dubái con Madrid y Barcelona, así como también Ciudad de México vía Barcelona.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Emirates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 ha conseguido el reconocimiento a la "Mejor Primera Clase del Mundo" en los premios Tripadvisor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Travelers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'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Choice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Awards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 para aerolíneas en 2020; los galardones al "Mejor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Wi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-Fi y Mejor Comida y Bebida" en Oriente Medio en los APEX Regional Passenger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Choice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Awards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® 2022; "Mejor Entretenimiento a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Bordo"en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 los premios Business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Traveller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 de 2020; y "Mejor Aerolínea del Mundo en Entretenimiento a Bordo" en los premios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SkyTrax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World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 Airlines de 2022.</w:t>
      </w:r>
    </w:p>
    <w:p w14:paraId="63C566F3" w14:textId="77777777" w:rsidR="00154047" w:rsidRDefault="00154047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18"/>
          <w:szCs w:val="18"/>
        </w:rPr>
      </w:pPr>
    </w:p>
    <w:p w14:paraId="270B6CB8" w14:textId="77777777" w:rsidR="00154047" w:rsidRDefault="00154047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18"/>
          <w:szCs w:val="18"/>
        </w:rPr>
      </w:pPr>
    </w:p>
    <w:sectPr w:rsidR="00154047">
      <w:headerReference w:type="default" r:id="rId8"/>
      <w:pgSz w:w="11900" w:h="16840"/>
      <w:pgMar w:top="1417" w:right="1268" w:bottom="734" w:left="1276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96D8C" w14:textId="77777777" w:rsidR="0081666F" w:rsidRDefault="0081666F">
      <w:r>
        <w:separator/>
      </w:r>
    </w:p>
  </w:endnote>
  <w:endnote w:type="continuationSeparator" w:id="0">
    <w:p w14:paraId="28978C80" w14:textId="77777777" w:rsidR="0081666F" w:rsidRDefault="00816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D15E9C10-D15D-DF4F-B12F-216E42373D0B}"/>
    <w:embedBold r:id="rId2" w:fontKey="{C95E18A4-40B1-7E4C-8AFF-3DFC8A4BF3C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455FBC7A-013F-D54F-909B-5373A4DDED15}"/>
    <w:embedItalic r:id="rId4" w:fontKey="{DD2F623C-9880-1D49-A545-D473D61A144D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5" w:fontKey="{449CE43A-8918-CE46-BE01-EBEF68F8866C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6" w:fontKey="{EEEF35A6-ACBC-0147-811E-CAA1AA339A5D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7" w:fontKey="{EE251F97-CDE3-8645-B3A5-24CE7A482AE5}"/>
    <w:embedBold r:id="rId8" w:fontKey="{D3F92F79-8B3F-C546-95DB-3A670913E2E8}"/>
    <w:embedItalic r:id="rId9" w:fontKey="{84850E2C-7C5D-964C-AEC8-1EACC308F58D}"/>
    <w:embedBoldItalic r:id="rId10" w:fontKey="{A849DD39-CAFD-F544-A704-B4A14C1367D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99FF5" w14:textId="77777777" w:rsidR="0081666F" w:rsidRDefault="0081666F">
      <w:r>
        <w:separator/>
      </w:r>
    </w:p>
  </w:footnote>
  <w:footnote w:type="continuationSeparator" w:id="0">
    <w:p w14:paraId="71E3E64F" w14:textId="77777777" w:rsidR="0081666F" w:rsidRDefault="008166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82A16" w14:textId="77777777" w:rsidR="00154047" w:rsidRDefault="00000000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  <w:r>
      <w:rPr>
        <w:noProof/>
      </w:rPr>
      <w:drawing>
        <wp:anchor distT="0" distB="0" distL="0" distR="0" simplePos="0" relativeHeight="251658240" behindDoc="0" locked="0" layoutInCell="1" hidden="0" allowOverlap="1" wp14:anchorId="42143442" wp14:editId="1C259455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073275" cy="1430655"/>
          <wp:effectExtent l="0" t="0" r="0" b="0"/>
          <wp:wrapSquare wrapText="bothSides" distT="0" distB="0" distL="0" distR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73275" cy="14306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BC354F4" w14:textId="77777777" w:rsidR="00154047" w:rsidRDefault="00154047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14:paraId="5F9EC8A4" w14:textId="77777777" w:rsidR="00154047" w:rsidRDefault="00154047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14:paraId="698417AA" w14:textId="77777777" w:rsidR="00154047" w:rsidRDefault="00154047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14:paraId="0B8CB7AB" w14:textId="77777777" w:rsidR="00154047" w:rsidRDefault="00154047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14:paraId="306EC59B" w14:textId="77777777" w:rsidR="00154047" w:rsidRDefault="00154047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047"/>
    <w:rsid w:val="00154047"/>
    <w:rsid w:val="00636447"/>
    <w:rsid w:val="0081666F"/>
    <w:rsid w:val="00E25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E4472A6"/>
  <w15:docId w15:val="{9525CFCF-70EF-6649-B585-5644F80A8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s-ES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paragraph" w:styleId="Prrafodelista">
    <w:name w:val="List Paragraph"/>
    <w:aliases w:val="numbered,Paragraphe de liste1,Bullet List,FooterText"/>
    <w:basedOn w:val="Normal"/>
    <w:link w:val="PrrafodelistaCar"/>
    <w:uiPriority w:val="34"/>
    <w:qFormat/>
    <w:rsid w:val="004348AD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D15796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E7562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7E7562"/>
    <w:rPr>
      <w:color w:val="800080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3E7D4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E7D4F"/>
  </w:style>
  <w:style w:type="paragraph" w:styleId="Piedepgina">
    <w:name w:val="footer"/>
    <w:basedOn w:val="Normal"/>
    <w:link w:val="PiedepginaCar"/>
    <w:uiPriority w:val="99"/>
    <w:unhideWhenUsed/>
    <w:rsid w:val="003E7D4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E7D4F"/>
  </w:style>
  <w:style w:type="paragraph" w:styleId="NormalWeb">
    <w:name w:val="Normal (Web)"/>
    <w:basedOn w:val="Normal"/>
    <w:uiPriority w:val="99"/>
    <w:unhideWhenUsed/>
    <w:rsid w:val="001863FF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en-GB"/>
    </w:rPr>
  </w:style>
  <w:style w:type="character" w:styleId="Textoennegrita">
    <w:name w:val="Strong"/>
    <w:basedOn w:val="Fuentedeprrafopredeter"/>
    <w:uiPriority w:val="22"/>
    <w:qFormat/>
    <w:rsid w:val="009368A3"/>
    <w:rPr>
      <w:b/>
      <w:bCs/>
    </w:rPr>
  </w:style>
  <w:style w:type="character" w:styleId="Mencinsinresolver">
    <w:name w:val="Unresolved Mention"/>
    <w:basedOn w:val="Fuentedeprrafopredeter"/>
    <w:uiPriority w:val="99"/>
    <w:semiHidden/>
    <w:unhideWhenUsed/>
    <w:rsid w:val="005647D6"/>
    <w:rPr>
      <w:color w:val="605E5C"/>
      <w:shd w:val="clear" w:color="auto" w:fill="E1DFDD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647D6"/>
    <w:pPr>
      <w:spacing w:after="160"/>
    </w:pPr>
    <w:rPr>
      <w:rFonts w:asciiTheme="minorHAnsi" w:eastAsiaTheme="minorEastAsia" w:hAnsiTheme="minorHAnsi" w:cstheme="minorBidi"/>
      <w:sz w:val="20"/>
      <w:szCs w:val="20"/>
      <w:lang w:val="en-GB" w:eastAsia="zh-CN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647D6"/>
    <w:rPr>
      <w:rFonts w:asciiTheme="minorHAnsi" w:eastAsiaTheme="minorEastAsia" w:hAnsiTheme="minorHAnsi" w:cstheme="minorBidi"/>
      <w:sz w:val="20"/>
      <w:szCs w:val="20"/>
      <w:lang w:val="en-GB" w:eastAsia="zh-CN"/>
    </w:rPr>
  </w:style>
  <w:style w:type="character" w:customStyle="1" w:styleId="PrrafodelistaCar">
    <w:name w:val="Párrafo de lista Car"/>
    <w:aliases w:val="numbered Car,Paragraphe de liste1 Car,Bullet List Car,FooterText Car"/>
    <w:basedOn w:val="Fuentedeprrafopredeter"/>
    <w:link w:val="Prrafodelista"/>
    <w:uiPriority w:val="34"/>
    <w:locked/>
    <w:rsid w:val="005647D6"/>
  </w:style>
  <w:style w:type="character" w:customStyle="1" w:styleId="wordsection1Char">
    <w:name w:val="wordsection1 Char"/>
    <w:basedOn w:val="Fuentedeprrafopredeter"/>
    <w:link w:val="wordsection1"/>
    <w:uiPriority w:val="99"/>
    <w:locked/>
    <w:rsid w:val="005647D6"/>
    <w:rPr>
      <w:rFonts w:ascii="Calibri" w:hAnsi="Calibri" w:cs="Calibri"/>
    </w:rPr>
  </w:style>
  <w:style w:type="paragraph" w:customStyle="1" w:styleId="wordsection1">
    <w:name w:val="wordsection1"/>
    <w:basedOn w:val="Normal"/>
    <w:link w:val="wordsection1Char"/>
    <w:uiPriority w:val="99"/>
    <w:rsid w:val="005647D6"/>
    <w:rPr>
      <w:rFonts w:ascii="Calibri" w:hAnsi="Calibri" w:cs="Calibri"/>
    </w:rPr>
  </w:style>
  <w:style w:type="character" w:styleId="Refdecomentario">
    <w:name w:val="annotation reference"/>
    <w:basedOn w:val="Fuentedeprrafopredeter"/>
    <w:uiPriority w:val="99"/>
    <w:semiHidden/>
    <w:unhideWhenUsed/>
    <w:rsid w:val="005647D6"/>
    <w:rPr>
      <w:sz w:val="16"/>
      <w:szCs w:val="16"/>
    </w:rPr>
  </w:style>
  <w:style w:type="character" w:customStyle="1" w:styleId="normaltextrun">
    <w:name w:val="normaltextrun"/>
    <w:basedOn w:val="Fuentedeprrafopredeter"/>
    <w:rsid w:val="005647D6"/>
  </w:style>
  <w:style w:type="table" w:customStyle="1" w:styleId="a0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ensa@sergat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+Tt+uSx4VDczAKfHAooNII31Bw==">CgMxLjA4AHIhMWlyYVZrUjlteG80YVF5a290WUJzclNybDJKNndHZ1Fk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850</Words>
  <Characters>4495</Characters>
  <Application>Microsoft Office Word</Application>
  <DocSecurity>0</DocSecurity>
  <Lines>74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5334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Sergat</dc:creator>
  <cp:keywords/>
  <dc:description/>
  <cp:lastModifiedBy>Ana</cp:lastModifiedBy>
  <cp:revision>2</cp:revision>
  <dcterms:created xsi:type="dcterms:W3CDTF">2024-05-06T14:22:00Z</dcterms:created>
  <dcterms:modified xsi:type="dcterms:W3CDTF">2024-05-06T16:29:00Z</dcterms:modified>
  <cp:category/>
</cp:coreProperties>
</file>