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AE55D5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bookmarkStart w:id="0" w:name="_GoBack"/>
      <w:bookmarkEnd w:id="0"/>
      <w:r>
        <w:rPr>
          <w:rFonts w:ascii="Century Gothic" w:eastAsia="Century Gothic" w:hAnsi="Century Gothic" w:cs="Century Gothic"/>
          <w:color w:val="000000"/>
          <w:sz w:val="18"/>
          <w:szCs w:val="18"/>
        </w:rPr>
        <w:t>Contacto:</w:t>
      </w:r>
    </w:p>
    <w:p w14:paraId="181F7538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EMIRATES </w:t>
      </w:r>
    </w:p>
    <w:p w14:paraId="09E0989A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Sergat </w:t>
      </w:r>
    </w:p>
    <w:p w14:paraId="084AF95B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>Tel.: 93 414 02 10</w:t>
      </w:r>
    </w:p>
    <w:p w14:paraId="3F4CCE62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mbria" w:eastAsia="Cambria" w:hAnsi="Cambria" w:cs="Cambria"/>
          <w:color w:val="000000"/>
        </w:rPr>
      </w:pP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E-mail: </w:t>
      </w:r>
      <w:hyperlink r:id="rId7">
        <w:r>
          <w:rPr>
            <w:rFonts w:ascii="Century Gothic" w:eastAsia="Century Gothic" w:hAnsi="Century Gothic" w:cs="Century Gothic"/>
            <w:color w:val="006699"/>
            <w:sz w:val="18"/>
            <w:szCs w:val="18"/>
          </w:rPr>
          <w:t>prensa@sergat.com</w:t>
        </w:r>
      </w:hyperlink>
      <w:r>
        <w:rPr>
          <w:rFonts w:ascii="Century Gothic" w:eastAsia="Century Gothic" w:hAnsi="Century Gothic" w:cs="Century Gothic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18"/>
          <w:szCs w:val="18"/>
        </w:rPr>
        <w:t xml:space="preserve"> </w:t>
      </w:r>
      <w:r>
        <w:rPr>
          <w:rFonts w:ascii="Century Gothic" w:eastAsia="Century Gothic" w:hAnsi="Century Gothic" w:cs="Century Gothic"/>
          <w:color w:val="0000FF"/>
          <w:sz w:val="18"/>
          <w:szCs w:val="18"/>
        </w:rPr>
        <w:t xml:space="preserve"> </w:t>
      </w:r>
    </w:p>
    <w:tbl>
      <w:tblPr>
        <w:tblStyle w:val="a0"/>
        <w:tblW w:w="577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775"/>
      </w:tblGrid>
      <w:tr w:rsidR="00DD68DA" w14:paraId="220F384A" w14:textId="77777777">
        <w:trPr>
          <w:jc w:val="center"/>
        </w:trPr>
        <w:tc>
          <w:tcPr>
            <w:tcW w:w="5775" w:type="dxa"/>
            <w:vAlign w:val="center"/>
          </w:tcPr>
          <w:p w14:paraId="00965388" w14:textId="77777777" w:rsidR="00DD68DA" w:rsidRDefault="00DD68DA">
            <w:pPr>
              <w:jc w:val="center"/>
              <w:rPr>
                <w:sz w:val="20"/>
                <w:szCs w:val="20"/>
              </w:rPr>
            </w:pPr>
          </w:p>
        </w:tc>
      </w:tr>
    </w:tbl>
    <w:p w14:paraId="3CEF24FC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center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</w:rPr>
        <w:t>Emirates y el departamento de economía y turismo de Dubái estrechan su colaboración para reforzar la posición de la ciudad como destino de negocios líder a nivel mundial</w:t>
      </w:r>
    </w:p>
    <w:p w14:paraId="3D6A9C12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sz w:val="22"/>
          <w:szCs w:val="22"/>
        </w:rPr>
        <w:t xml:space="preserve">Dubái, EAU, 8 de mayo de 2024: </w:t>
      </w:r>
      <w:r>
        <w:rPr>
          <w:rFonts w:ascii="Century Gothic" w:eastAsia="Century Gothic" w:hAnsi="Century Gothic" w:cs="Century Gothic"/>
          <w:sz w:val="22"/>
          <w:szCs w:val="22"/>
        </w:rPr>
        <w:t>El departamento de economía y turismo de Dubái (DET, en inglés) y Emirates han firmado una alianza estratégica que incluye iniciativas conjuntas para intensificar los esfuerzos internacionales y afianzar la imagen de Dubái como centro neurálgico del comerc</w:t>
      </w:r>
      <w:r>
        <w:rPr>
          <w:rFonts w:ascii="Century Gothic" w:eastAsia="Century Gothic" w:hAnsi="Century Gothic" w:cs="Century Gothic"/>
          <w:sz w:val="22"/>
          <w:szCs w:val="22"/>
        </w:rPr>
        <w:t>io, el turismo e inversiones. Aprovechando la asociación a largo plazo y el éxito de ambas entidades en la promoción turística, este último anuncio subraya su compromiso con la consecución de los objetivos de la Agenda Económica de Dubái, D33, y con la mej</w:t>
      </w:r>
      <w:r>
        <w:rPr>
          <w:rFonts w:ascii="Century Gothic" w:eastAsia="Century Gothic" w:hAnsi="Century Gothic" w:cs="Century Gothic"/>
          <w:sz w:val="22"/>
          <w:szCs w:val="22"/>
        </w:rPr>
        <w:t>ora del estatus de la ciudad como destino líder para los negocios y el ocio.</w:t>
      </w:r>
    </w:p>
    <w:p w14:paraId="3DF22978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El acuerdo se ha formalizado en el contexto de la feria </w:t>
      </w:r>
      <w:r>
        <w:rPr>
          <w:rFonts w:ascii="Century Gothic" w:eastAsia="Century Gothic" w:hAnsi="Century Gothic" w:cs="Century Gothic"/>
          <w:i/>
          <w:sz w:val="22"/>
          <w:szCs w:val="22"/>
        </w:rPr>
        <w:t>Arabian Travel Market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, en presencia de Su Alteza el Jeque Ahmed bin Saeed Al Maktoum, presidente y consejero delegado de Emirates Airline y Group, y Su Excelencia Helal Saeed Almarri, director general del departamento de economía y turismo de Dubái. El acuerdo ha sido firmado 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por Su Excelencia Issam Kazim, consejero delegado 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Dubai Corporation for Tourism and Commerce Marketing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(DCTCM), y Adnan Kazim, vicepresidente y director comercial de Emirates.</w:t>
      </w:r>
    </w:p>
    <w:p w14:paraId="0E2DACA6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 xml:space="preserve">Su Excelencia Issam Kazim declara: “Impulsado por el liderazgo visionario de </w:t>
      </w:r>
      <w:r>
        <w:rPr>
          <w:rFonts w:ascii="Century Gothic" w:eastAsia="Century Gothic" w:hAnsi="Century Gothic" w:cs="Century Gothic"/>
          <w:sz w:val="22"/>
          <w:szCs w:val="22"/>
        </w:rPr>
        <w:t>Su Alteza el Jeque Mohammed bin Rashid Al Maktoum, vicepresidente y primer ministro de los EAU y gobernante de Dubái, el departamento de economía y turismo de Dubái  se ha comprometido a desarrollar y aprovechar las asociaciones que puedan contribuir a alc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anzar los ambiciosos objetivos D33 de la ciudad. En los últimos años, el departamento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>de economía y turismo de Dubái y Emirates ya han forjado una poderosa relación de colaboración, y este nuevo memorando de entendimiento mejora aún más nuestra capacidad d</w:t>
      </w:r>
      <w:r>
        <w:rPr>
          <w:rFonts w:ascii="Century Gothic" w:eastAsia="Century Gothic" w:hAnsi="Century Gothic" w:cs="Century Gothic"/>
          <w:sz w:val="22"/>
          <w:szCs w:val="22"/>
        </w:rPr>
        <w:t>e llegar al público empresarial de todo el mundo, interactuar con él y atraerlo. Un motor clave del crecimiento turístico y económico de Dubái ha sido la conectividad internacional, impulsada por la red global de Emirates y su reputación como aerolínea líd</w:t>
      </w:r>
      <w:r>
        <w:rPr>
          <w:rFonts w:ascii="Century Gothic" w:eastAsia="Century Gothic" w:hAnsi="Century Gothic" w:cs="Century Gothic"/>
          <w:sz w:val="22"/>
          <w:szCs w:val="22"/>
        </w:rPr>
        <w:t>er, y esperamos seguir trabajando estrechamente con Emirates para hacer de Dubái la mejor ciudad para visitar, vivir y trabajar”.</w:t>
      </w:r>
    </w:p>
    <w:p w14:paraId="09451DCC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Adnan Kazim, sobre la nueva cooperación con el departamento de economía y turismo de Dubái: “Dubái es ya un imán para muchas e</w:t>
      </w:r>
      <w:r>
        <w:rPr>
          <w:rFonts w:ascii="Century Gothic" w:eastAsia="Century Gothic" w:hAnsi="Century Gothic" w:cs="Century Gothic"/>
          <w:sz w:val="22"/>
          <w:szCs w:val="22"/>
        </w:rPr>
        <w:t>mpresas internacionales, emprendedores y empresas familiares, gracias a su clima y sus paisajes que propician los negocios e inversiones, y a sus favorables condiciones comerciales y alto nivel de vida. Nos hemos comprometido a mejorar el estatus de centro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económico mundial de Dubái con nuestros socios del departamento de economía y turismo de Dubái para aumentar su visibilidad en nuestra red de más de 140 ciudades y más allá a través de una variedad de actividades promocionales. También nos esforzamos por </w:t>
      </w:r>
      <w:r>
        <w:rPr>
          <w:rFonts w:ascii="Century Gothic" w:eastAsia="Century Gothic" w:hAnsi="Century Gothic" w:cs="Century Gothic"/>
          <w:sz w:val="22"/>
          <w:szCs w:val="22"/>
        </w:rPr>
        <w:t>ampliar nuestra red y conectividad para complementar el ya formidable mapa comercial de Dubái. La estrategia coordinada y sólida del departamento de economía y turismo de Dubái y Emirates respaldará los objetivos de nuestros visionarios dirigentes de dupli</w:t>
      </w:r>
      <w:r>
        <w:rPr>
          <w:rFonts w:ascii="Century Gothic" w:eastAsia="Century Gothic" w:hAnsi="Century Gothic" w:cs="Century Gothic"/>
          <w:sz w:val="22"/>
          <w:szCs w:val="22"/>
        </w:rPr>
        <w:t>car el tamaño de la economía de Dubái en la próxima década y reforzar su posición entre las tres principales ciudades del mundo”.</w:t>
      </w:r>
    </w:p>
    <w:p w14:paraId="3B94C525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Gracias a esta asociación estratégica, ambas entidades se unirán para promover el sólido ecosistema empresarial de Dubái, su u</w:t>
      </w:r>
      <w:r>
        <w:rPr>
          <w:rFonts w:ascii="Century Gothic" w:eastAsia="Century Gothic" w:hAnsi="Century Gothic" w:cs="Century Gothic"/>
          <w:sz w:val="22"/>
          <w:szCs w:val="22"/>
        </w:rPr>
        <w:t>bicación estratégica, su inigualable conectividad con las principales regiones de influencia, sus políticas y procesos favorables a las empresas, sus infraestructuras ultramodernas y su economía impulsada por la innovación. Se dirigirán a corporaciones, em</w:t>
      </w:r>
      <w:r>
        <w:rPr>
          <w:rFonts w:ascii="Century Gothic" w:eastAsia="Century Gothic" w:hAnsi="Century Gothic" w:cs="Century Gothic"/>
          <w:sz w:val="22"/>
          <w:szCs w:val="22"/>
        </w:rPr>
        <w:t>presas multinacionales, empresas familiares prominentes e inversores globales, posicionando a Dubái como un centro ideal para las empresas que buscan aprovechar las economías de rápido crecimiento.</w:t>
      </w:r>
    </w:p>
    <w:p w14:paraId="555BF275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La asociación abarca una amplia gama de iniciativas en las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que las dos entidades pueden colaborar y complementar sus esfuerzos mutuamente. Entre ellas, campañas </w:t>
      </w:r>
      <w:r>
        <w:rPr>
          <w:rFonts w:ascii="Century Gothic" w:eastAsia="Century Gothic" w:hAnsi="Century Gothic" w:cs="Century Gothic"/>
          <w:sz w:val="22"/>
          <w:szCs w:val="22"/>
        </w:rPr>
        <w:lastRenderedPageBreak/>
        <w:t xml:space="preserve">de </w:t>
      </w:r>
      <w:r>
        <w:rPr>
          <w:rFonts w:ascii="Century Gothic" w:eastAsia="Century Gothic" w:hAnsi="Century Gothic" w:cs="Century Gothic"/>
          <w:i/>
          <w:sz w:val="22"/>
          <w:szCs w:val="22"/>
        </w:rPr>
        <w:t>marketing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para mostrar la ciudad como punto clave de tránsito de carga y pasajeros, acceso a una amplia variedad de servicios y soluciones para agiliz</w:t>
      </w:r>
      <w:r>
        <w:rPr>
          <w:rFonts w:ascii="Century Gothic" w:eastAsia="Century Gothic" w:hAnsi="Century Gothic" w:cs="Century Gothic"/>
          <w:sz w:val="22"/>
          <w:szCs w:val="22"/>
        </w:rPr>
        <w:t>ar las operaciones logísticas globales y el intercambio de información sobre el mercado para seguir creando conciencia y favorabilidad de Dubái como centro de negocios, comercio e inversión. Asimismo, colaborarán en una serie de eventos para fortalecer las</w:t>
      </w:r>
      <w:r>
        <w:rPr>
          <w:rFonts w:ascii="Century Gothic" w:eastAsia="Century Gothic" w:hAnsi="Century Gothic" w:cs="Century Gothic"/>
          <w:sz w:val="22"/>
          <w:szCs w:val="22"/>
        </w:rPr>
        <w:t xml:space="preserve"> relaciones con la comunidad empresarial internacional, y Emirates se convertirá en </w:t>
      </w:r>
      <w:r>
        <w:rPr>
          <w:rFonts w:ascii="Century Gothic" w:eastAsia="Century Gothic" w:hAnsi="Century Gothic" w:cs="Century Gothic"/>
          <w:i/>
          <w:sz w:val="22"/>
          <w:szCs w:val="22"/>
        </w:rPr>
        <w:t>‘Preferred Airline Partner’ e</w:t>
      </w:r>
      <w:r>
        <w:rPr>
          <w:rFonts w:ascii="Century Gothic" w:eastAsia="Century Gothic" w:hAnsi="Century Gothic" w:cs="Century Gothic"/>
          <w:sz w:val="22"/>
          <w:szCs w:val="22"/>
        </w:rPr>
        <w:t>n estas muestras y conferencias globales.</w:t>
      </w:r>
    </w:p>
    <w:p w14:paraId="4371606C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sz w:val="22"/>
          <w:szCs w:val="22"/>
        </w:rPr>
        <w:t>Dubái ha crecido hasta convertirse en una de las economías más dinámicas del mundo, sirviendo de cent</w:t>
      </w:r>
      <w:r>
        <w:rPr>
          <w:rFonts w:ascii="Century Gothic" w:eastAsia="Century Gothic" w:hAnsi="Century Gothic" w:cs="Century Gothic"/>
          <w:sz w:val="22"/>
          <w:szCs w:val="22"/>
        </w:rPr>
        <w:t>ro neurálgico para multinacionales, empresas de nueva creación, empresas familiares y emprendedores que aspiran a crecer en Oriente Medio, África y el sur de Asia, con una zona de influencia combinada de más de 1700 millones de personas. Dubái también cuen</w:t>
      </w:r>
      <w:r>
        <w:rPr>
          <w:rFonts w:ascii="Century Gothic" w:eastAsia="Century Gothic" w:hAnsi="Century Gothic" w:cs="Century Gothic"/>
          <w:sz w:val="22"/>
          <w:szCs w:val="22"/>
        </w:rPr>
        <w:t>ta con parques logísticos de última generación, varias zonas francas económicas y redes de transporte que hacen de la ciudad un centro ideal para las empresas que buscan agilizar sus operaciones de la cadena de suministro y ampliar su alcance en la región.</w:t>
      </w:r>
    </w:p>
    <w:p w14:paraId="6F8CFAFB" w14:textId="77777777" w:rsidR="00DD68DA" w:rsidRDefault="00DD68D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0E8550AB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22"/>
          <w:szCs w:val="22"/>
        </w:rPr>
      </w:pPr>
      <w:r>
        <w:rPr>
          <w:rFonts w:ascii="Century Gothic" w:eastAsia="Century Gothic" w:hAnsi="Century Gothic" w:cs="Century Gothic"/>
          <w:b/>
          <w:i/>
          <w:color w:val="000000"/>
          <w:sz w:val="18"/>
          <w:szCs w:val="18"/>
        </w:rPr>
        <w:t>Acerca de Emirates</w:t>
      </w:r>
    </w:p>
    <w:p w14:paraId="2B746FBD" w14:textId="77777777" w:rsidR="00DD68DA" w:rsidRDefault="00864925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Emirates, la mayor aerolínea internacional de pasajeros, opera en España desde 2010. La compañía conecta a los viajeros españoles a través de su hub global en Dubái con más de 130 destinos en todo el mundo. Emirates une Dubái con Madri</w:t>
      </w:r>
      <w:r>
        <w:rPr>
          <w:rFonts w:ascii="Century Gothic" w:eastAsia="Century Gothic" w:hAnsi="Century Gothic" w:cs="Century Gothic"/>
          <w:sz w:val="18"/>
          <w:szCs w:val="18"/>
        </w:rPr>
        <w:t>d y Barcelona, así como también Ciudad de México vía Barcelona. Emirates ha conseguido el reconocimiento a la "Mejor Primera Clase del Mundo" en los premios Tripadvisor Travelers' Choice Awards para aerolíneas en 2020; los galardones al "Mejor Wi-Fi y Mejo</w:t>
      </w:r>
      <w:r>
        <w:rPr>
          <w:rFonts w:ascii="Century Gothic" w:eastAsia="Century Gothic" w:hAnsi="Century Gothic" w:cs="Century Gothic"/>
          <w:sz w:val="18"/>
          <w:szCs w:val="18"/>
        </w:rPr>
        <w:t>r Comida y Bebida" en Oriente Medio en los APEX Regional Passenger Choice Awards® 2022; "Mejor Entretenimiento a Bordo"en los premios Business Traveller de 2020; y "Mejor Aerolínea del Mundo en Entretenimiento a Bordo" en los premios SkyTrax World Airlines</w:t>
      </w:r>
      <w:r>
        <w:rPr>
          <w:rFonts w:ascii="Century Gothic" w:eastAsia="Century Gothic" w:hAnsi="Century Gothic" w:cs="Century Gothic"/>
          <w:sz w:val="18"/>
          <w:szCs w:val="18"/>
        </w:rPr>
        <w:t xml:space="preserve"> de 2022.</w:t>
      </w:r>
    </w:p>
    <w:p w14:paraId="2CEF614E" w14:textId="77777777" w:rsidR="00DD68DA" w:rsidRDefault="00DD68D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p w14:paraId="7674B74A" w14:textId="77777777" w:rsidR="00DD68DA" w:rsidRDefault="00DD68DA">
      <w:pPr>
        <w:pBdr>
          <w:top w:val="nil"/>
          <w:left w:val="nil"/>
          <w:bottom w:val="nil"/>
          <w:right w:val="nil"/>
          <w:between w:val="nil"/>
        </w:pBdr>
        <w:spacing w:before="280" w:line="360" w:lineRule="auto"/>
        <w:jc w:val="both"/>
        <w:rPr>
          <w:rFonts w:ascii="Century Gothic" w:eastAsia="Century Gothic" w:hAnsi="Century Gothic" w:cs="Century Gothic"/>
          <w:sz w:val="18"/>
          <w:szCs w:val="18"/>
        </w:rPr>
      </w:pPr>
    </w:p>
    <w:sectPr w:rsidR="00DD68DA">
      <w:headerReference w:type="default" r:id="rId8"/>
      <w:pgSz w:w="11900" w:h="16840"/>
      <w:pgMar w:top="1417" w:right="1268" w:bottom="734" w:left="1276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FF87D6" w14:textId="77777777" w:rsidR="00864925" w:rsidRDefault="00864925">
      <w:r>
        <w:separator/>
      </w:r>
    </w:p>
  </w:endnote>
  <w:endnote w:type="continuationSeparator" w:id="0">
    <w:p w14:paraId="514C1C52" w14:textId="77777777" w:rsidR="00864925" w:rsidRDefault="00864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E2559F" w14:textId="77777777" w:rsidR="00864925" w:rsidRDefault="00864925">
      <w:r>
        <w:separator/>
      </w:r>
    </w:p>
  </w:footnote>
  <w:footnote w:type="continuationSeparator" w:id="0">
    <w:p w14:paraId="6D8BC53E" w14:textId="77777777" w:rsidR="00864925" w:rsidRDefault="0086492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60FC53" w14:textId="77777777" w:rsidR="00DD68DA" w:rsidRDefault="00864925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  <w:r>
      <w:rPr>
        <w:noProof/>
        <w:lang w:val="es-ES_tradnl"/>
      </w:rPr>
      <w:drawing>
        <wp:anchor distT="0" distB="0" distL="0" distR="0" simplePos="0" relativeHeight="251658240" behindDoc="0" locked="0" layoutInCell="1" hidden="0" allowOverlap="1" wp14:anchorId="7403E5DA" wp14:editId="5495C91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2073275" cy="1430655"/>
          <wp:effectExtent l="0" t="0" r="0" b="0"/>
          <wp:wrapSquare wrapText="bothSides" distT="0" distB="0" distL="0" distR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73275" cy="14306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56BCCBA6" w14:textId="77777777" w:rsidR="00DD68DA" w:rsidRDefault="00DD68D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23DD94CB" w14:textId="77777777" w:rsidR="00DD68DA" w:rsidRDefault="00DD68D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06A20265" w14:textId="77777777" w:rsidR="00DD68DA" w:rsidRDefault="00DD68D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10429D95" w14:textId="77777777" w:rsidR="00DD68DA" w:rsidRDefault="00DD68D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  <w:p w14:paraId="66A41C24" w14:textId="77777777" w:rsidR="00DD68DA" w:rsidRDefault="00DD68DA">
    <w:pPr>
      <w:pBdr>
        <w:top w:val="nil"/>
        <w:left w:val="nil"/>
        <w:bottom w:val="nil"/>
        <w:right w:val="nil"/>
        <w:between w:val="nil"/>
      </w:pBdr>
      <w:tabs>
        <w:tab w:val="right" w:pos="8478"/>
      </w:tabs>
      <w:spacing w:after="200"/>
      <w:rPr>
        <w:rFonts w:ascii="Cambria" w:eastAsia="Cambria" w:hAnsi="Cambria" w:cs="Cambria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8DA"/>
    <w:rsid w:val="00864925"/>
    <w:rsid w:val="00A3755F"/>
    <w:rsid w:val="00DD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E5C0F0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numbered,Paragraphe de liste1,Bullet List,FooterText"/>
    <w:basedOn w:val="Normal"/>
    <w:link w:val="PrrafodelistaCar"/>
    <w:uiPriority w:val="34"/>
    <w:qFormat/>
    <w:rsid w:val="004348AD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5796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7E756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E7562"/>
    <w:rPr>
      <w:color w:val="800080" w:themeColor="followed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E7D4F"/>
  </w:style>
  <w:style w:type="paragraph" w:styleId="Piedepgina">
    <w:name w:val="footer"/>
    <w:basedOn w:val="Normal"/>
    <w:link w:val="PiedepginaCar"/>
    <w:uiPriority w:val="99"/>
    <w:unhideWhenUsed/>
    <w:rsid w:val="003E7D4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E7D4F"/>
  </w:style>
  <w:style w:type="paragraph" w:styleId="NormalWeb">
    <w:name w:val="Normal (Web)"/>
    <w:basedOn w:val="Normal"/>
    <w:uiPriority w:val="99"/>
    <w:unhideWhenUsed/>
    <w:rsid w:val="001863FF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val="en-GB"/>
    </w:rPr>
  </w:style>
  <w:style w:type="character" w:styleId="Textoennegrita">
    <w:name w:val="Strong"/>
    <w:basedOn w:val="Fuentedeprrafopredeter"/>
    <w:uiPriority w:val="22"/>
    <w:qFormat/>
    <w:rsid w:val="009368A3"/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5647D6"/>
    <w:rPr>
      <w:color w:val="605E5C"/>
      <w:shd w:val="clear" w:color="auto" w:fill="E1DFDD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647D6"/>
    <w:pPr>
      <w:spacing w:after="160"/>
    </w:pPr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647D6"/>
    <w:rPr>
      <w:rFonts w:asciiTheme="minorHAnsi" w:eastAsiaTheme="minorEastAsia" w:hAnsiTheme="minorHAnsi" w:cstheme="minorBidi"/>
      <w:sz w:val="20"/>
      <w:szCs w:val="20"/>
      <w:lang w:val="en-GB" w:eastAsia="zh-CN"/>
    </w:rPr>
  </w:style>
  <w:style w:type="character" w:customStyle="1" w:styleId="PrrafodelistaCar">
    <w:name w:val="Párrafo de lista Car"/>
    <w:aliases w:val="numbered Car,Paragraphe de liste1 Car,Bullet List Car,FooterText Car"/>
    <w:basedOn w:val="Fuentedeprrafopredeter"/>
    <w:link w:val="Prrafodelista"/>
    <w:uiPriority w:val="34"/>
    <w:locked/>
    <w:rsid w:val="005647D6"/>
  </w:style>
  <w:style w:type="character" w:customStyle="1" w:styleId="wordsection1Char">
    <w:name w:val="wordsection1 Char"/>
    <w:basedOn w:val="Fuentedeprrafopredeter"/>
    <w:link w:val="wordsection1"/>
    <w:uiPriority w:val="99"/>
    <w:locked/>
    <w:rsid w:val="005647D6"/>
    <w:rPr>
      <w:rFonts w:ascii="Calibri" w:hAnsi="Calibri" w:cs="Calibri"/>
    </w:rPr>
  </w:style>
  <w:style w:type="paragraph" w:customStyle="1" w:styleId="wordsection1">
    <w:name w:val="wordsection1"/>
    <w:basedOn w:val="Normal"/>
    <w:link w:val="wordsection1Char"/>
    <w:uiPriority w:val="99"/>
    <w:rsid w:val="005647D6"/>
    <w:rPr>
      <w:rFonts w:ascii="Calibri" w:hAnsi="Calibri" w:cs="Calibri"/>
    </w:rPr>
  </w:style>
  <w:style w:type="character" w:styleId="Refdecomentario">
    <w:name w:val="annotation reference"/>
    <w:basedOn w:val="Fuentedeprrafopredeter"/>
    <w:uiPriority w:val="99"/>
    <w:semiHidden/>
    <w:unhideWhenUsed/>
    <w:rsid w:val="005647D6"/>
    <w:rPr>
      <w:sz w:val="16"/>
      <w:szCs w:val="16"/>
    </w:rPr>
  </w:style>
  <w:style w:type="character" w:customStyle="1" w:styleId="normaltextrun">
    <w:name w:val="normaltextrun"/>
    <w:basedOn w:val="Fuentedeprrafopredeter"/>
    <w:rsid w:val="005647D6"/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prensa@sergat.com" TargetMode="Externa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JrkTxLa8J0dOS3YdVMzAoB0Ukw==">CgMxLjA4AHIhMTI2ZTZVLUp2UHMtNEhrQzNyNFpRRWNUSEMtajJKM2pM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954</Words>
  <Characters>5167</Characters>
  <Application>Microsoft Macintosh Word</Application>
  <DocSecurity>0</DocSecurity>
  <Lines>86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6104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Sergat</dc:creator>
  <cp:keywords/>
  <dc:description/>
  <cp:lastModifiedBy>Andrea REBOLLO</cp:lastModifiedBy>
  <cp:revision>2</cp:revision>
  <dcterms:created xsi:type="dcterms:W3CDTF">2024-05-08T07:51:00Z</dcterms:created>
  <dcterms:modified xsi:type="dcterms:W3CDTF">2024-05-08T13:31:00Z</dcterms:modified>
  <cp:category/>
</cp:coreProperties>
</file>