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D7F4C" w14:textId="77777777" w:rsidR="00DB4E9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28396732" w14:textId="77777777" w:rsidR="00DB4E9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3D38A1E3" w14:textId="77777777" w:rsidR="00DB4E9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40A74833" w14:textId="77777777" w:rsidR="00DB4E9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6C8991FC" w14:textId="77777777" w:rsidR="00DB4E9F"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p w14:paraId="0541741B" w14:textId="77777777" w:rsidR="00DB4E9F" w:rsidRDefault="00000000">
      <w:pPr>
        <w:pBdr>
          <w:top w:val="nil"/>
          <w:left w:val="nil"/>
          <w:bottom w:val="nil"/>
          <w:right w:val="nil"/>
          <w:between w:val="nil"/>
        </w:pBdr>
        <w:spacing w:before="280" w:line="360" w:lineRule="auto"/>
        <w:jc w:val="center"/>
        <w:rPr>
          <w:rFonts w:ascii="Century Gothic" w:eastAsia="Century Gothic" w:hAnsi="Century Gothic" w:cs="Century Gothic"/>
          <w:sz w:val="22"/>
          <w:szCs w:val="22"/>
        </w:rPr>
      </w:pPr>
      <w:r>
        <w:rPr>
          <w:rFonts w:ascii="Century Gothic" w:eastAsia="Century Gothic" w:hAnsi="Century Gothic" w:cs="Century Gothic"/>
          <w:b/>
        </w:rPr>
        <w:t xml:space="preserve">Emirates </w:t>
      </w:r>
      <w:proofErr w:type="spellStart"/>
      <w:r>
        <w:rPr>
          <w:rFonts w:ascii="Century Gothic" w:eastAsia="Century Gothic" w:hAnsi="Century Gothic" w:cs="Century Gothic"/>
          <w:b/>
        </w:rPr>
        <w:t>Group</w:t>
      </w:r>
      <w:proofErr w:type="spellEnd"/>
      <w:r>
        <w:rPr>
          <w:rFonts w:ascii="Century Gothic" w:eastAsia="Century Gothic" w:hAnsi="Century Gothic" w:cs="Century Gothic"/>
          <w:b/>
        </w:rPr>
        <w:t xml:space="preserve"> anuncia los resultados del ejercicio financiero 2023-2024</w:t>
      </w:r>
    </w:p>
    <w:p w14:paraId="3B0FD2CD" w14:textId="0367BEA5" w:rsidR="00DB4E9F" w:rsidRDefault="00000000">
      <w:pPr>
        <w:spacing w:before="280" w:line="360" w:lineRule="auto"/>
        <w:jc w:val="cente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w:t>
      </w:r>
      <w:r>
        <w:rPr>
          <w:rFonts w:ascii="Century Gothic" w:eastAsia="Century Gothic" w:hAnsi="Century Gothic" w:cs="Century Gothic"/>
          <w:b/>
          <w:sz w:val="22"/>
          <w:szCs w:val="22"/>
        </w:rPr>
        <w:t xml:space="preserve">grupo </w:t>
      </w:r>
      <w:r>
        <w:rPr>
          <w:rFonts w:ascii="Century Gothic" w:eastAsia="Century Gothic" w:hAnsi="Century Gothic" w:cs="Century Gothic"/>
          <w:sz w:val="22"/>
          <w:szCs w:val="22"/>
        </w:rPr>
        <w:t>registra los mejores resultados de su historia con un beneficio récord de 18.700 millones de AED (5100 millones de dólares estadounidenses), un 71 % más que el año anterior. Declara también</w:t>
      </w:r>
      <w:r w:rsidR="00F818A2">
        <w:rPr>
          <w:rFonts w:ascii="Century Gothic" w:eastAsia="Century Gothic" w:hAnsi="Century Gothic" w:cs="Century Gothic"/>
          <w:sz w:val="22"/>
          <w:szCs w:val="22"/>
        </w:rPr>
        <w:t xml:space="preserve"> récord en</w:t>
      </w:r>
      <w:r>
        <w:rPr>
          <w:rFonts w:ascii="Century Gothic" w:eastAsia="Century Gothic" w:hAnsi="Century Gothic" w:cs="Century Gothic"/>
          <w:sz w:val="22"/>
          <w:szCs w:val="22"/>
        </w:rPr>
        <w:t xml:space="preserve"> ingresos y nivel de activos en efectivo</w:t>
      </w:r>
    </w:p>
    <w:p w14:paraId="6916D5A4" w14:textId="3E096601" w:rsidR="00DB4E9F" w:rsidRDefault="00000000">
      <w:pPr>
        <w:spacing w:before="280" w:line="360" w:lineRule="auto"/>
        <w:jc w:val="center"/>
        <w:rPr>
          <w:rFonts w:ascii="Century Gothic" w:eastAsia="Century Gothic" w:hAnsi="Century Gothic" w:cs="Century Gothic"/>
          <w:sz w:val="22"/>
          <w:szCs w:val="22"/>
        </w:rPr>
      </w:pPr>
      <w:r>
        <w:rPr>
          <w:rFonts w:ascii="Century Gothic" w:eastAsia="Century Gothic" w:hAnsi="Century Gothic" w:cs="Century Gothic"/>
          <w:sz w:val="22"/>
          <w:szCs w:val="22"/>
        </w:rPr>
        <w:t>• Los ingresos del grupo han aumentado un 15 % hasta un nuevo máximo de 137.300 millones de AED (37.400 millones de dólares estadounidenses), impulsados por la fuerte demanda de los clientes en todos sus negocios</w:t>
      </w:r>
    </w:p>
    <w:p w14:paraId="2C0EE63F" w14:textId="77777777" w:rsidR="00DB4E9F" w:rsidRDefault="00000000">
      <w:pPr>
        <w:spacing w:before="280" w:line="360" w:lineRule="auto"/>
        <w:jc w:val="center"/>
        <w:rPr>
          <w:rFonts w:ascii="Century Gothic" w:eastAsia="Century Gothic" w:hAnsi="Century Gothic" w:cs="Century Gothic"/>
          <w:sz w:val="22"/>
          <w:szCs w:val="22"/>
        </w:rPr>
      </w:pPr>
      <w:r>
        <w:rPr>
          <w:rFonts w:ascii="Century Gothic" w:eastAsia="Century Gothic" w:hAnsi="Century Gothic" w:cs="Century Gothic"/>
          <w:sz w:val="22"/>
          <w:szCs w:val="22"/>
        </w:rPr>
        <w:t>• Termina el año con el saldo de caja más alto de la historia: 47.100 millones de AED (12.800 millones de dólares estadounidenses)</w:t>
      </w:r>
    </w:p>
    <w:p w14:paraId="52A3C76B" w14:textId="77777777" w:rsidR="00DB4E9F" w:rsidRDefault="00000000">
      <w:pPr>
        <w:spacing w:before="280" w:line="360" w:lineRule="auto"/>
        <w:jc w:val="cente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El grupo declara un dividendo de 4000 millones de AED (1100 millones de dólares estadounidenses) a su propietario, la </w:t>
      </w:r>
      <w:proofErr w:type="spellStart"/>
      <w:r w:rsidRPr="00F818A2">
        <w:rPr>
          <w:rFonts w:ascii="Century Gothic" w:eastAsia="Century Gothic" w:hAnsi="Century Gothic" w:cs="Century Gothic"/>
          <w:i/>
          <w:iCs/>
          <w:sz w:val="22"/>
          <w:szCs w:val="22"/>
        </w:rPr>
        <w:t>Investment</w:t>
      </w:r>
      <w:proofErr w:type="spellEnd"/>
      <w:r w:rsidRPr="00F818A2">
        <w:rPr>
          <w:rFonts w:ascii="Century Gothic" w:eastAsia="Century Gothic" w:hAnsi="Century Gothic" w:cs="Century Gothic"/>
          <w:i/>
          <w:iCs/>
          <w:sz w:val="22"/>
          <w:szCs w:val="22"/>
        </w:rPr>
        <w:t xml:space="preserve"> </w:t>
      </w:r>
      <w:proofErr w:type="spellStart"/>
      <w:r w:rsidRPr="00F818A2">
        <w:rPr>
          <w:rFonts w:ascii="Century Gothic" w:eastAsia="Century Gothic" w:hAnsi="Century Gothic" w:cs="Century Gothic"/>
          <w:i/>
          <w:iCs/>
          <w:sz w:val="22"/>
          <w:szCs w:val="22"/>
        </w:rPr>
        <w:t>Corporation</w:t>
      </w:r>
      <w:proofErr w:type="spellEnd"/>
      <w:r w:rsidRPr="00F818A2">
        <w:rPr>
          <w:rFonts w:ascii="Century Gothic" w:eastAsia="Century Gothic" w:hAnsi="Century Gothic" w:cs="Century Gothic"/>
          <w:i/>
          <w:iCs/>
          <w:sz w:val="22"/>
          <w:szCs w:val="22"/>
        </w:rPr>
        <w:t xml:space="preserve"> </w:t>
      </w:r>
      <w:proofErr w:type="spellStart"/>
      <w:r w:rsidRPr="00F818A2">
        <w:rPr>
          <w:rFonts w:ascii="Century Gothic" w:eastAsia="Century Gothic" w:hAnsi="Century Gothic" w:cs="Century Gothic"/>
          <w:i/>
          <w:iCs/>
          <w:sz w:val="22"/>
          <w:szCs w:val="22"/>
        </w:rPr>
        <w:t>of</w:t>
      </w:r>
      <w:proofErr w:type="spellEnd"/>
      <w:r w:rsidRPr="00F818A2">
        <w:rPr>
          <w:rFonts w:ascii="Century Gothic" w:eastAsia="Century Gothic" w:hAnsi="Century Gothic" w:cs="Century Gothic"/>
          <w:i/>
          <w:iCs/>
          <w:sz w:val="22"/>
          <w:szCs w:val="22"/>
        </w:rPr>
        <w:t xml:space="preserve"> </w:t>
      </w:r>
      <w:proofErr w:type="spellStart"/>
      <w:r w:rsidRPr="00F818A2">
        <w:rPr>
          <w:rFonts w:ascii="Century Gothic" w:eastAsia="Century Gothic" w:hAnsi="Century Gothic" w:cs="Century Gothic"/>
          <w:i/>
          <w:iCs/>
          <w:sz w:val="22"/>
          <w:szCs w:val="22"/>
        </w:rPr>
        <w:t>Dubai</w:t>
      </w:r>
      <w:proofErr w:type="spellEnd"/>
      <w:r>
        <w:rPr>
          <w:rFonts w:ascii="Century Gothic" w:eastAsia="Century Gothic" w:hAnsi="Century Gothic" w:cs="Century Gothic"/>
          <w:sz w:val="22"/>
          <w:szCs w:val="22"/>
        </w:rPr>
        <w:t xml:space="preserve"> (ICD)</w:t>
      </w:r>
    </w:p>
    <w:p w14:paraId="02B77C2C" w14:textId="099B18B2" w:rsidR="00DB4E9F" w:rsidRDefault="00000000" w:rsidP="00F818A2">
      <w:pPr>
        <w:spacing w:before="280" w:line="360" w:lineRule="auto"/>
        <w:jc w:val="center"/>
        <w:rPr>
          <w:rFonts w:ascii="Century Gothic" w:eastAsia="Century Gothic" w:hAnsi="Century Gothic" w:cs="Century Gothic"/>
          <w:sz w:val="22"/>
          <w:szCs w:val="22"/>
        </w:rPr>
      </w:pPr>
      <w:r>
        <w:rPr>
          <w:rFonts w:ascii="Century Gothic" w:eastAsia="Century Gothic" w:hAnsi="Century Gothic" w:cs="Century Gothic"/>
          <w:sz w:val="22"/>
          <w:szCs w:val="22"/>
        </w:rPr>
        <w:t>• El presidente atribuye los resultados récord a las políticas progresistas de Dubái y afirma que los beneficios permiten mayores inversiones en nuevos aviones, instalaciones y equipos, tecnología, productos y servicios, así como en sus empleados</w:t>
      </w:r>
    </w:p>
    <w:p w14:paraId="5423688B" w14:textId="77777777" w:rsidR="00DB4E9F" w:rsidRDefault="00000000">
      <w:pPr>
        <w:spacing w:before="280" w:line="360" w:lineRule="auto"/>
        <w:jc w:val="center"/>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Emirates </w:t>
      </w:r>
      <w:r>
        <w:rPr>
          <w:rFonts w:ascii="Century Gothic" w:eastAsia="Century Gothic" w:hAnsi="Century Gothic" w:cs="Century Gothic"/>
          <w:sz w:val="22"/>
          <w:szCs w:val="22"/>
        </w:rPr>
        <w:t>anuncia un nuevo beneficio récord de 17.200 millones de AED (4700 millones de dólares estadounidenses), un 63 % más que los 10.600 millones de AED (2900 millones de dólares estadounidenses) registrados el año pasado</w:t>
      </w:r>
    </w:p>
    <w:p w14:paraId="6D6E7E0D" w14:textId="77777777" w:rsidR="00DB4E9F" w:rsidRDefault="00000000">
      <w:pPr>
        <w:spacing w:before="280" w:line="360" w:lineRule="auto"/>
        <w:jc w:val="center"/>
        <w:rPr>
          <w:rFonts w:ascii="Century Gothic" w:eastAsia="Century Gothic" w:hAnsi="Century Gothic" w:cs="Century Gothic"/>
          <w:sz w:val="22"/>
          <w:szCs w:val="22"/>
        </w:rPr>
      </w:pPr>
      <w:r>
        <w:rPr>
          <w:rFonts w:ascii="Century Gothic" w:eastAsia="Century Gothic" w:hAnsi="Century Gothic" w:cs="Century Gothic"/>
          <w:sz w:val="22"/>
          <w:szCs w:val="22"/>
        </w:rPr>
        <w:t>• Los ingresos han aumentado un 13 %, hasta los 121.200 millones de AED (33.000 millones de dólares estadounidenses), en un contexto en el que la aerolínea ha seguido añadiendo más capacidad y fortaleciendo su red global y sus asociaciones</w:t>
      </w:r>
    </w:p>
    <w:p w14:paraId="42E6BC99" w14:textId="77777777" w:rsidR="00DB4E9F" w:rsidRDefault="00000000">
      <w:pPr>
        <w:spacing w:before="280" w:line="360" w:lineRule="auto"/>
        <w:jc w:val="cente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La capacidad de la aerolínea ha crecido un 20 %, hasta los 57.700 millones de ATKM, cerrando la brecha con los niveles previos a la pandemia</w:t>
      </w:r>
    </w:p>
    <w:p w14:paraId="28DE076F" w14:textId="455D0065" w:rsidR="00DB4E9F" w:rsidRDefault="00000000">
      <w:pPr>
        <w:spacing w:before="280" w:line="360" w:lineRule="auto"/>
        <w:jc w:val="center"/>
        <w:rPr>
          <w:rFonts w:ascii="Century Gothic" w:eastAsia="Century Gothic" w:hAnsi="Century Gothic" w:cs="Century Gothic"/>
          <w:sz w:val="22"/>
          <w:szCs w:val="22"/>
        </w:rPr>
      </w:pPr>
      <w:proofErr w:type="spellStart"/>
      <w:r>
        <w:rPr>
          <w:rFonts w:ascii="Century Gothic" w:eastAsia="Century Gothic" w:hAnsi="Century Gothic" w:cs="Century Gothic"/>
          <w:b/>
          <w:sz w:val="22"/>
          <w:szCs w:val="22"/>
        </w:rPr>
        <w:t>dnata</w:t>
      </w:r>
      <w:proofErr w:type="spellEnd"/>
      <w:r>
        <w:rPr>
          <w:rFonts w:ascii="Century Gothic" w:eastAsia="Century Gothic" w:hAnsi="Century Gothic" w:cs="Century Gothic"/>
          <w:b/>
          <w:sz w:val="22"/>
          <w:szCs w:val="22"/>
        </w:rPr>
        <w:t xml:space="preserve"> </w:t>
      </w:r>
      <w:r>
        <w:rPr>
          <w:rFonts w:ascii="Century Gothic" w:eastAsia="Century Gothic" w:hAnsi="Century Gothic" w:cs="Century Gothic"/>
          <w:sz w:val="22"/>
          <w:szCs w:val="22"/>
        </w:rPr>
        <w:t>informa de un beneficio de 1400 millones de AED (400 millones de dólares estadounidenses), una mejora significativa con respecto a su beneficio de 331 millones de AED (90 millones de dólares estadounidenses) del año pasado</w:t>
      </w:r>
    </w:p>
    <w:p w14:paraId="68CFFC99" w14:textId="77777777" w:rsidR="00DB4E9F" w:rsidRDefault="00000000">
      <w:pPr>
        <w:spacing w:before="280" w:line="360" w:lineRule="auto"/>
        <w:jc w:val="cente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Los ingresos se han incrementado un 29 % hasta alcanzar un </w:t>
      </w:r>
      <w:proofErr w:type="gramStart"/>
      <w:r>
        <w:rPr>
          <w:rFonts w:ascii="Century Gothic" w:eastAsia="Century Gothic" w:hAnsi="Century Gothic" w:cs="Century Gothic"/>
          <w:sz w:val="22"/>
          <w:szCs w:val="22"/>
        </w:rPr>
        <w:t>nuevo récord</w:t>
      </w:r>
      <w:proofErr w:type="gramEnd"/>
      <w:r>
        <w:rPr>
          <w:rFonts w:ascii="Century Gothic" w:eastAsia="Century Gothic" w:hAnsi="Century Gothic" w:cs="Century Gothic"/>
          <w:sz w:val="22"/>
          <w:szCs w:val="22"/>
        </w:rPr>
        <w:t xml:space="preserve"> de 19.200 millones de AED (5200 millones de dólares estadounidenses), lo que refleja una mayor actividad de vuelos de los clientes y demanda de viajes en sus divisiones de negocios en los Emiratos Árabes Unidos y en todo el mundo</w:t>
      </w:r>
    </w:p>
    <w:p w14:paraId="0E1A5A2B" w14:textId="77777777" w:rsidR="00DB4E9F" w:rsidRDefault="00000000">
      <w:pPr>
        <w:spacing w:before="280" w:line="360" w:lineRule="auto"/>
        <w:jc w:val="center"/>
        <w:rPr>
          <w:rFonts w:ascii="Century Gothic" w:eastAsia="Century Gothic" w:hAnsi="Century Gothic" w:cs="Century Gothic"/>
          <w:b/>
          <w:sz w:val="22"/>
          <w:szCs w:val="22"/>
        </w:rPr>
      </w:pPr>
      <w:r>
        <w:rPr>
          <w:rFonts w:ascii="Century Gothic" w:eastAsia="Century Gothic" w:hAnsi="Century Gothic" w:cs="Century Gothic"/>
          <w:sz w:val="22"/>
          <w:szCs w:val="22"/>
        </w:rPr>
        <w:t>• Amplía la cartera de clientes con nuevos contratos, añade salas VIP en nuevos mercados globales e invierte en nuevos equipos y tecnologías para mejorar las operaciones y los servicios</w:t>
      </w:r>
    </w:p>
    <w:p w14:paraId="766C02D4" w14:textId="1BE4FF01" w:rsidR="00DB4E9F" w:rsidRDefault="00000000" w:rsidP="00F818A2">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 EAU, 13 de mayo de 2024:</w:t>
      </w:r>
      <w:r>
        <w:rPr>
          <w:rFonts w:ascii="Century Gothic" w:eastAsia="Century Gothic" w:hAnsi="Century Gothic" w:cs="Century Gothic"/>
          <w:sz w:val="22"/>
          <w:szCs w:val="22"/>
        </w:rPr>
        <w:t xml:space="preserve"> Emirates </w:t>
      </w:r>
      <w:proofErr w:type="spellStart"/>
      <w:r>
        <w:rPr>
          <w:rFonts w:ascii="Century Gothic" w:eastAsia="Century Gothic" w:hAnsi="Century Gothic" w:cs="Century Gothic"/>
          <w:sz w:val="22"/>
          <w:szCs w:val="22"/>
        </w:rPr>
        <w:t>Group</w:t>
      </w:r>
      <w:proofErr w:type="spellEnd"/>
      <w:r>
        <w:rPr>
          <w:rFonts w:ascii="Century Gothic" w:eastAsia="Century Gothic" w:hAnsi="Century Gothic" w:cs="Century Gothic"/>
          <w:sz w:val="22"/>
          <w:szCs w:val="22"/>
        </w:rPr>
        <w:t xml:space="preserve"> ha publicado hoy su</w:t>
      </w:r>
      <w:hyperlink r:id="rId8">
        <w:r>
          <w:rPr>
            <w:rFonts w:ascii="Century Gothic" w:eastAsia="Century Gothic" w:hAnsi="Century Gothic" w:cs="Century Gothic"/>
            <w:color w:val="1155CC"/>
            <w:sz w:val="22"/>
            <w:szCs w:val="22"/>
            <w:u w:val="single"/>
          </w:rPr>
          <w:t xml:space="preserve"> Informe Anual 2023-24</w:t>
        </w:r>
      </w:hyperlink>
      <w:r>
        <w:rPr>
          <w:rFonts w:ascii="Century Gothic" w:eastAsia="Century Gothic" w:hAnsi="Century Gothic" w:cs="Century Gothic"/>
          <w:sz w:val="22"/>
          <w:szCs w:val="22"/>
        </w:rPr>
        <w:t>, que incluye nuevos niveles récord de beneficios, ingresos y saldo de caja.</w:t>
      </w:r>
    </w:p>
    <w:p w14:paraId="28B56EF6"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Tanto Emirates como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han experimentado un aumento significativo de beneficios e ingresos en el ejercicio financiero 2023-2024, a medida que el grupo ha expandido sus operaciones en todo el mundo para satisfacer la fuerte demanda de los clientes por sus productos y servicios de alta calidad.</w:t>
      </w:r>
    </w:p>
    <w:p w14:paraId="536E953A"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Para el año financiero, que finalizó el 31 de marzo de 2024, Emirates </w:t>
      </w:r>
      <w:proofErr w:type="spellStart"/>
      <w:r>
        <w:rPr>
          <w:rFonts w:ascii="Century Gothic" w:eastAsia="Century Gothic" w:hAnsi="Century Gothic" w:cs="Century Gothic"/>
          <w:sz w:val="22"/>
          <w:szCs w:val="22"/>
        </w:rPr>
        <w:t>Group</w:t>
      </w:r>
      <w:proofErr w:type="spellEnd"/>
      <w:r>
        <w:rPr>
          <w:rFonts w:ascii="Century Gothic" w:eastAsia="Century Gothic" w:hAnsi="Century Gothic" w:cs="Century Gothic"/>
          <w:sz w:val="22"/>
          <w:szCs w:val="22"/>
        </w:rPr>
        <w:t xml:space="preserve"> ha registrado un beneficio récord de 18.700 millones de AED (5100 millones de dólares estadounidenses), un 71 % más en comparación con el beneficio de 10.900 millones de AED (3000 millones de dólares estadounidenses) del año pasado. Los ingresos del grupo han sido de 137.300 millones de AED (37.400 millones de dólares estadounidenses), un aumento del 15 % con respecto a los resultados del año pasado. El saldo de caja del grupo ha sido de 47.100 millones de AED (12.800 millones de dólares estadounidenses), el más alto jamás reportado, un 11 % más que el año pasado.</w:t>
      </w:r>
    </w:p>
    <w:p w14:paraId="545FC54F"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Los beneficios combinados del grupo durante los últimos dos años, de 29.600 millones de AED, superan las pérdidas pandémicas de 25.900 millones de AED durante los años 2020-2022.</w:t>
      </w:r>
    </w:p>
    <w:p w14:paraId="79214F79"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Su Alteza el Jeque Ahmed </w:t>
      </w:r>
      <w:proofErr w:type="spellStart"/>
      <w:r>
        <w:rPr>
          <w:rFonts w:ascii="Century Gothic" w:eastAsia="Century Gothic" w:hAnsi="Century Gothic" w:cs="Century Gothic"/>
          <w:b/>
          <w:sz w:val="22"/>
          <w:szCs w:val="22"/>
        </w:rPr>
        <w:t>bin</w:t>
      </w:r>
      <w:proofErr w:type="spellEnd"/>
      <w:r>
        <w:rPr>
          <w:rFonts w:ascii="Century Gothic" w:eastAsia="Century Gothic" w:hAnsi="Century Gothic" w:cs="Century Gothic"/>
          <w:b/>
          <w:sz w:val="22"/>
          <w:szCs w:val="22"/>
        </w:rPr>
        <w:t xml:space="preserve"> </w:t>
      </w:r>
      <w:proofErr w:type="spellStart"/>
      <w:r>
        <w:rPr>
          <w:rFonts w:ascii="Century Gothic" w:eastAsia="Century Gothic" w:hAnsi="Century Gothic" w:cs="Century Gothic"/>
          <w:b/>
          <w:sz w:val="22"/>
          <w:szCs w:val="22"/>
        </w:rPr>
        <w:t>Saeed</w:t>
      </w:r>
      <w:proofErr w:type="spellEnd"/>
      <w:r>
        <w:rPr>
          <w:rFonts w:ascii="Century Gothic" w:eastAsia="Century Gothic" w:hAnsi="Century Gothic" w:cs="Century Gothic"/>
          <w:b/>
          <w:sz w:val="22"/>
          <w:szCs w:val="22"/>
        </w:rPr>
        <w:t xml:space="preserve"> Al Maktoum, presidente y director ejecutivo de la aerolínea y de Emirates </w:t>
      </w:r>
      <w:proofErr w:type="spellStart"/>
      <w:r>
        <w:rPr>
          <w:rFonts w:ascii="Century Gothic" w:eastAsia="Century Gothic" w:hAnsi="Century Gothic" w:cs="Century Gothic"/>
          <w:b/>
          <w:sz w:val="22"/>
          <w:szCs w:val="22"/>
        </w:rPr>
        <w:t>Group</w:t>
      </w:r>
      <w:proofErr w:type="spellEnd"/>
      <w:r>
        <w:rPr>
          <w:rFonts w:ascii="Century Gothic" w:eastAsia="Century Gothic" w:hAnsi="Century Gothic" w:cs="Century Gothic"/>
          <w:sz w:val="22"/>
          <w:szCs w:val="22"/>
        </w:rPr>
        <w:t xml:space="preserve">, ha declarado: “Emirates </w:t>
      </w:r>
      <w:proofErr w:type="spellStart"/>
      <w:r>
        <w:rPr>
          <w:rFonts w:ascii="Century Gothic" w:eastAsia="Century Gothic" w:hAnsi="Century Gothic" w:cs="Century Gothic"/>
          <w:sz w:val="22"/>
          <w:szCs w:val="22"/>
        </w:rPr>
        <w:t>Group</w:t>
      </w:r>
      <w:proofErr w:type="spellEnd"/>
      <w:r>
        <w:rPr>
          <w:rFonts w:ascii="Century Gothic" w:eastAsia="Century Gothic" w:hAnsi="Century Gothic" w:cs="Century Gothic"/>
          <w:sz w:val="22"/>
          <w:szCs w:val="22"/>
        </w:rPr>
        <w:t xml:space="preserve"> ha vuelto a subir el listón para lograr un nuevo ejercicio récord. A lo largo del año, hemos sido testigos de una gran demanda de transporte aéreo y servicios relacionados con viajes en todo el mundo y, al haber podido actuar con celeridad para ofrecer lo que los clientes desean, hemos conseguido unos resultados magníficos. Estamos cosechando los beneficios de años de inversiones continuas en nuestros productos y servicios, en la construcción de asociaciones sólidas y en las capacidades de nuestros talentosos empleados”.</w:t>
      </w:r>
    </w:p>
    <w:p w14:paraId="0DF2C4C1"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Y ha añadido: “También se debe dar crédito a los líderes visionarios de los EAU, especialmente a Su Alteza el Jeque Mohammed </w:t>
      </w:r>
      <w:proofErr w:type="spellStart"/>
      <w:r>
        <w:rPr>
          <w:rFonts w:ascii="Century Gothic" w:eastAsia="Century Gothic" w:hAnsi="Century Gothic" w:cs="Century Gothic"/>
          <w:sz w:val="22"/>
          <w:szCs w:val="22"/>
        </w:rPr>
        <w:t>bin</w:t>
      </w:r>
      <w:proofErr w:type="spellEnd"/>
      <w:r>
        <w:rPr>
          <w:rFonts w:ascii="Century Gothic" w:eastAsia="Century Gothic" w:hAnsi="Century Gothic" w:cs="Century Gothic"/>
          <w:sz w:val="22"/>
          <w:szCs w:val="22"/>
        </w:rPr>
        <w:t xml:space="preserve"> Rashid Al Maktoum, vicepresidente y primer ministro de los Emiratos Árabes Unidos (EAU) y gobernante de Dubái. Es gracias a su liderazgo y a las políticas progresistas de la nación que Emirates </w:t>
      </w:r>
      <w:proofErr w:type="spellStart"/>
      <w:r>
        <w:rPr>
          <w:rFonts w:ascii="Century Gothic" w:eastAsia="Century Gothic" w:hAnsi="Century Gothic" w:cs="Century Gothic"/>
          <w:sz w:val="22"/>
          <w:szCs w:val="22"/>
        </w:rPr>
        <w:t>Group</w:t>
      </w:r>
      <w:proofErr w:type="spellEnd"/>
      <w:r>
        <w:rPr>
          <w:rFonts w:ascii="Century Gothic" w:eastAsia="Century Gothic" w:hAnsi="Century Gothic" w:cs="Century Gothic"/>
          <w:sz w:val="22"/>
          <w:szCs w:val="22"/>
        </w:rPr>
        <w:t xml:space="preserve"> puede prosperar. Tanto Emirates como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han forjado modelos de negocio exitosos aprovechando las ventajas únicas de Dubái, generando a su vez un enorme valor para Dubái y las comunidades a las que sirven en todo el mundo”.</w:t>
      </w:r>
    </w:p>
    <w:p w14:paraId="3572D3E4"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Su Alteza el Jeque Ahmed prosigue: “La excelente situación financiera del grupo hoy nos coloca en una posición óptima para el crecimiento y el éxito futuros. Nos permite invertir para ofrecer productos y servicios aún mejores y más valor a nuestros clientes y </w:t>
      </w:r>
      <w:proofErr w:type="spellStart"/>
      <w:r>
        <w:rPr>
          <w:rFonts w:ascii="Century Gothic" w:eastAsia="Century Gothic" w:hAnsi="Century Gothic" w:cs="Century Gothic"/>
          <w:i/>
          <w:sz w:val="22"/>
          <w:szCs w:val="22"/>
        </w:rPr>
        <w:t>stakeholders</w:t>
      </w:r>
      <w:proofErr w:type="spellEnd"/>
      <w:r>
        <w:rPr>
          <w:rFonts w:ascii="Century Gothic" w:eastAsia="Century Gothic" w:hAnsi="Century Gothic" w:cs="Century Gothic"/>
          <w:sz w:val="22"/>
          <w:szCs w:val="22"/>
        </w:rPr>
        <w:t>”.</w:t>
      </w:r>
    </w:p>
    <w:p w14:paraId="11379903"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Numerosos proyectos destacados se encuentran ya en curso, entre ellos: un programa multimillonario de renovación de cabinas y flotas de aviones; nuevas capacidades de </w:t>
      </w:r>
      <w:r>
        <w:rPr>
          <w:rFonts w:ascii="Century Gothic" w:eastAsia="Century Gothic" w:hAnsi="Century Gothic" w:cs="Century Gothic"/>
          <w:i/>
          <w:sz w:val="22"/>
          <w:szCs w:val="22"/>
        </w:rPr>
        <w:t>catering</w:t>
      </w:r>
      <w:r>
        <w:rPr>
          <w:rFonts w:ascii="Century Gothic" w:eastAsia="Century Gothic" w:hAnsi="Century Gothic" w:cs="Century Gothic"/>
          <w:sz w:val="22"/>
          <w:szCs w:val="22"/>
        </w:rPr>
        <w:t>, carga y asistencia en tierra; tecnologías avanzadas para respaldar las operaciones del grupo; programas ampliados de formación y desarrollo de personas; e iniciativas para avanzar en la agenda de sostenibilidad del grupo.</w:t>
      </w:r>
    </w:p>
    <w:p w14:paraId="1CF5D0FF"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En el año 2023-2024, el grupo ha invertido colectivamente 8800 millones de AED (2400 millones de dólares estadounidenses) en nuevos aviones, instalaciones, equipos, negocios y las últimas tecnologías para reforzar sus planes de crecimiento.</w:t>
      </w:r>
    </w:p>
    <w:p w14:paraId="1D5F965D" w14:textId="3B179AD0"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w:t>
      </w:r>
      <w:r>
        <w:rPr>
          <w:rFonts w:ascii="Century Gothic" w:eastAsia="Century Gothic" w:hAnsi="Century Gothic" w:cs="Century Gothic"/>
          <w:b/>
          <w:sz w:val="22"/>
          <w:szCs w:val="22"/>
        </w:rPr>
        <w:t>plantilla total de trabajadores</w:t>
      </w:r>
      <w:r>
        <w:rPr>
          <w:rFonts w:ascii="Century Gothic" w:eastAsia="Century Gothic" w:hAnsi="Century Gothic" w:cs="Century Gothic"/>
          <w:sz w:val="22"/>
          <w:szCs w:val="22"/>
        </w:rPr>
        <w:t xml:space="preserve"> del grupo ha crecido un 10 % en 112.406 empleados, la mayor cifra hasta la fecha. Paralelamente, Emirates y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han seguido reclutando personal en todo el mundo para apoyar sus operaciones en expansión y sus capacidades futuras.</w:t>
      </w:r>
    </w:p>
    <w:p w14:paraId="77182B73"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grupo ha dado pasos significativos en su camino hacia la sostenibilidad durante 2023-2024, poniendo en marcha numerosas iniciativas centradas en el medio ambiente, sus empleados, sus clientes y sus comunidades.</w:t>
      </w:r>
    </w:p>
    <w:p w14:paraId="7547C76C"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Durante el año, los temas ambientales han ocupado un lugar destacado en la agenda, ya que los EAU han sido anfitriones de la mayor conferencia del mundo para la acción climática, la COP28, en Dubái.</w:t>
      </w:r>
    </w:p>
    <w:p w14:paraId="5DBA62C2"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2023-2024, Emirates ha firmado nuevos acuerdos de suministro para aumentar el combustible de aviación sostenible (SAF) en su </w:t>
      </w:r>
      <w:proofErr w:type="spellStart"/>
      <w:proofErr w:type="gramStart"/>
      <w:r>
        <w:rPr>
          <w:rFonts w:ascii="Century Gothic" w:eastAsia="Century Gothic" w:hAnsi="Century Gothic" w:cs="Century Gothic"/>
          <w:i/>
          <w:sz w:val="22"/>
          <w:szCs w:val="22"/>
        </w:rPr>
        <w:t>hub</w:t>
      </w:r>
      <w:proofErr w:type="spellEnd"/>
      <w:proofErr w:type="gramEnd"/>
      <w:r>
        <w:rPr>
          <w:rFonts w:ascii="Century Gothic" w:eastAsia="Century Gothic" w:hAnsi="Century Gothic" w:cs="Century Gothic"/>
          <w:i/>
          <w:sz w:val="22"/>
          <w:szCs w:val="22"/>
        </w:rPr>
        <w:t xml:space="preserve"> </w:t>
      </w:r>
      <w:r>
        <w:rPr>
          <w:rFonts w:ascii="Century Gothic" w:eastAsia="Century Gothic" w:hAnsi="Century Gothic" w:cs="Century Gothic"/>
          <w:sz w:val="22"/>
          <w:szCs w:val="22"/>
        </w:rPr>
        <w:t>de Dubái por primera vez, y también en Ámsterdam y Singapur. La aerolínea ha operado el primer vuelo de prueba del A380 utilizando un 100 % de SAF en un solo motor, recopilando datos con el objetivo de respaldar los esfuerzos de la industria para avanzar hacia un futuro de vuelos con 100 % de SAF.</w:t>
      </w:r>
    </w:p>
    <w:p w14:paraId="526B954D"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Reconociendo que hoy en día las aerolíneas tienen soluciones viables limitadas para disminuir significativamente las emisiones de carbono, Emirates ha establecido un fondo de 200 millones de dólares para apoyar proyectos de I+D centrados en reducir el impacto de los combustibles fósiles en la aviación comercial. También se ha convertido en entidad fundadora de </w:t>
      </w:r>
      <w:r>
        <w:rPr>
          <w:rFonts w:ascii="Century Gothic" w:eastAsia="Century Gothic" w:hAnsi="Century Gothic" w:cs="Century Gothic"/>
          <w:i/>
          <w:sz w:val="22"/>
          <w:szCs w:val="22"/>
        </w:rPr>
        <w:t>Air-CRAFT</w:t>
      </w:r>
      <w:r>
        <w:rPr>
          <w:rFonts w:ascii="Century Gothic" w:eastAsia="Century Gothic" w:hAnsi="Century Gothic" w:cs="Century Gothic"/>
          <w:sz w:val="22"/>
          <w:szCs w:val="22"/>
        </w:rPr>
        <w:t xml:space="preserve">, un consorcio de investigación con sede en los EAU sobre combustibles de aviación avanzados y renovables; y se ha unido a </w:t>
      </w:r>
      <w:proofErr w:type="spellStart"/>
      <w:r>
        <w:rPr>
          <w:rFonts w:ascii="Century Gothic" w:eastAsia="Century Gothic" w:hAnsi="Century Gothic" w:cs="Century Gothic"/>
          <w:i/>
          <w:sz w:val="22"/>
          <w:szCs w:val="22"/>
        </w:rPr>
        <w:t>The</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Solent</w:t>
      </w:r>
      <w:proofErr w:type="spellEnd"/>
      <w:r>
        <w:rPr>
          <w:rFonts w:ascii="Century Gothic" w:eastAsia="Century Gothic" w:hAnsi="Century Gothic" w:cs="Century Gothic"/>
          <w:i/>
          <w:sz w:val="22"/>
          <w:szCs w:val="22"/>
        </w:rPr>
        <w:t xml:space="preserve"> </w:t>
      </w:r>
      <w:proofErr w:type="spellStart"/>
      <w:proofErr w:type="gramStart"/>
      <w:r>
        <w:rPr>
          <w:rFonts w:ascii="Century Gothic" w:eastAsia="Century Gothic" w:hAnsi="Century Gothic" w:cs="Century Gothic"/>
          <w:i/>
          <w:sz w:val="22"/>
          <w:szCs w:val="22"/>
        </w:rPr>
        <w:t>Cluster</w:t>
      </w:r>
      <w:proofErr w:type="spellEnd"/>
      <w:proofErr w:type="gramEnd"/>
      <w:r>
        <w:rPr>
          <w:rFonts w:ascii="Century Gothic" w:eastAsia="Century Gothic" w:hAnsi="Century Gothic" w:cs="Century Gothic"/>
          <w:sz w:val="22"/>
          <w:szCs w:val="22"/>
        </w:rPr>
        <w:t>, una iniciativa del Reino Unido centrada en producir combustibles bajos en carbono para una variedad de sectores, incluida la aviación.</w:t>
      </w:r>
    </w:p>
    <w:p w14:paraId="044B893D" w14:textId="77777777" w:rsidR="00DB4E9F" w:rsidRDefault="00000000">
      <w:pPr>
        <w:spacing w:before="280" w:line="360"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lastRenderedPageBreak/>
        <w:t>dnata</w:t>
      </w:r>
      <w:proofErr w:type="spellEnd"/>
      <w:r>
        <w:rPr>
          <w:rFonts w:ascii="Century Gothic" w:eastAsia="Century Gothic" w:hAnsi="Century Gothic" w:cs="Century Gothic"/>
          <w:sz w:val="22"/>
          <w:szCs w:val="22"/>
        </w:rPr>
        <w:t xml:space="preserve"> ha seguido invirtiendo e incorporando más vehículos eléctricos e híbridos a su flota global de equipos de apoyo en tierra (GSE), agregando nuevos tractores de equipaje, cargadores de mercancía y tractores de empuje a sus operaciones en EE. UU. También ha transformado y reacondicionado GSE diésel en Italia para que funcionen con aceite vegetal hidrogenado y energía eléctrica. Los negocios de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en los Emiratos Árabes Unidos, incluidos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logística, </w:t>
      </w:r>
      <w:proofErr w:type="spellStart"/>
      <w:r>
        <w:rPr>
          <w:rFonts w:ascii="Century Gothic" w:eastAsia="Century Gothic" w:hAnsi="Century Gothic" w:cs="Century Gothic"/>
          <w:i/>
          <w:sz w:val="22"/>
          <w:szCs w:val="22"/>
        </w:rPr>
        <w:t>Arabian</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Adventures</w:t>
      </w:r>
      <w:proofErr w:type="spellEnd"/>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 xml:space="preserve">Alpha Flight </w:t>
      </w:r>
      <w:proofErr w:type="spellStart"/>
      <w:r>
        <w:rPr>
          <w:rFonts w:ascii="Century Gothic" w:eastAsia="Century Gothic" w:hAnsi="Century Gothic" w:cs="Century Gothic"/>
          <w:i/>
          <w:sz w:val="22"/>
          <w:szCs w:val="22"/>
        </w:rPr>
        <w:t>Services</w:t>
      </w:r>
      <w:proofErr w:type="spellEnd"/>
      <w:r>
        <w:rPr>
          <w:rFonts w:ascii="Century Gothic" w:eastAsia="Century Gothic" w:hAnsi="Century Gothic" w:cs="Century Gothic"/>
          <w:sz w:val="22"/>
          <w:szCs w:val="22"/>
        </w:rPr>
        <w:t xml:space="preserve"> y </w:t>
      </w:r>
      <w:r>
        <w:rPr>
          <w:rFonts w:ascii="Century Gothic" w:eastAsia="Century Gothic" w:hAnsi="Century Gothic" w:cs="Century Gothic"/>
          <w:i/>
          <w:sz w:val="22"/>
          <w:szCs w:val="22"/>
        </w:rPr>
        <w:t xml:space="preserve">City </w:t>
      </w:r>
      <w:proofErr w:type="spellStart"/>
      <w:r>
        <w:rPr>
          <w:rFonts w:ascii="Century Gothic" w:eastAsia="Century Gothic" w:hAnsi="Century Gothic" w:cs="Century Gothic"/>
          <w:i/>
          <w:sz w:val="22"/>
          <w:szCs w:val="22"/>
        </w:rPr>
        <w:t>Sightseeing</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Worldwide</w:t>
      </w:r>
      <w:proofErr w:type="spellEnd"/>
      <w:r>
        <w:rPr>
          <w:rFonts w:ascii="Century Gothic" w:eastAsia="Century Gothic" w:hAnsi="Century Gothic" w:cs="Century Gothic"/>
          <w:sz w:val="22"/>
          <w:szCs w:val="22"/>
        </w:rPr>
        <w:t>, han realizado la transición al biocombustible para su flota de vehículos terrestres.</w:t>
      </w:r>
    </w:p>
    <w:p w14:paraId="60DC899A"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Durante el año,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se ha convertido en el primer proveedor de servicios aéreos combinados en recibir la certificación de gestión ambiental (</w:t>
      </w:r>
      <w:proofErr w:type="spellStart"/>
      <w:r>
        <w:rPr>
          <w:rFonts w:ascii="Century Gothic" w:eastAsia="Century Gothic" w:hAnsi="Century Gothic" w:cs="Century Gothic"/>
          <w:sz w:val="22"/>
          <w:szCs w:val="22"/>
        </w:rPr>
        <w:t>IEnvA</w:t>
      </w:r>
      <w:proofErr w:type="spellEnd"/>
      <w:r>
        <w:rPr>
          <w:rFonts w:ascii="Century Gothic" w:eastAsia="Century Gothic" w:hAnsi="Century Gothic" w:cs="Century Gothic"/>
          <w:sz w:val="22"/>
          <w:szCs w:val="22"/>
        </w:rPr>
        <w:t xml:space="preserve">) de la Asociación Internacional de Transporte Aéreo por su compromiso con la sostenibilidad en todos sus negocios en los EAU; y Emirates ha obtenido las certificaciones </w:t>
      </w:r>
      <w:proofErr w:type="spellStart"/>
      <w:r>
        <w:rPr>
          <w:rFonts w:ascii="Century Gothic" w:eastAsia="Century Gothic" w:hAnsi="Century Gothic" w:cs="Century Gothic"/>
          <w:i/>
          <w:sz w:val="22"/>
          <w:szCs w:val="22"/>
        </w:rPr>
        <w:t>IEnvA</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Stage</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One</w:t>
      </w:r>
      <w:proofErr w:type="spellEnd"/>
      <w:r>
        <w:rPr>
          <w:rFonts w:ascii="Century Gothic" w:eastAsia="Century Gothic" w:hAnsi="Century Gothic" w:cs="Century Gothic"/>
          <w:sz w:val="22"/>
          <w:szCs w:val="22"/>
        </w:rPr>
        <w:t xml:space="preserve"> y el módulo </w:t>
      </w:r>
      <w:proofErr w:type="spellStart"/>
      <w:r>
        <w:rPr>
          <w:rFonts w:ascii="Century Gothic" w:eastAsia="Century Gothic" w:hAnsi="Century Gothic" w:cs="Century Gothic"/>
          <w:i/>
          <w:sz w:val="22"/>
          <w:szCs w:val="22"/>
        </w:rPr>
        <w:t>IEnvA</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Illegal</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Wildlife</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Trade</w:t>
      </w:r>
      <w:proofErr w:type="spellEnd"/>
      <w:r>
        <w:rPr>
          <w:rFonts w:ascii="Century Gothic" w:eastAsia="Century Gothic" w:hAnsi="Century Gothic" w:cs="Century Gothic"/>
          <w:sz w:val="22"/>
          <w:szCs w:val="22"/>
        </w:rPr>
        <w:t>, por su trabajo en la gestión ambiental y la lucha contra el tráfico de vida silvestre.</w:t>
      </w:r>
    </w:p>
    <w:p w14:paraId="0797CBBD"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grupo ha incrementado las inversiones en el desarrollo de las personas, implementando un programa integral de opciones de aprendizaje y capacitación para sus empleados en asociación con las mejores universidades y socios clave de la industria. Se ha creado un Consejo de Paridad de Género para defender y promover la igualdad de género dentro del grupo.</w:t>
      </w:r>
    </w:p>
    <w:p w14:paraId="656FCFA0"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w:t>
      </w:r>
      <w:proofErr w:type="spellStart"/>
      <w:r>
        <w:rPr>
          <w:rFonts w:ascii="Century Gothic" w:eastAsia="Century Gothic" w:hAnsi="Century Gothic" w:cs="Century Gothic"/>
          <w:sz w:val="22"/>
          <w:szCs w:val="22"/>
        </w:rPr>
        <w:t>Group</w:t>
      </w:r>
      <w:proofErr w:type="spellEnd"/>
      <w:r>
        <w:rPr>
          <w:rFonts w:ascii="Century Gothic" w:eastAsia="Century Gothic" w:hAnsi="Century Gothic" w:cs="Century Gothic"/>
          <w:sz w:val="22"/>
          <w:szCs w:val="22"/>
        </w:rPr>
        <w:t xml:space="preserve"> ha ampliado sus informes </w:t>
      </w:r>
      <w:proofErr w:type="spellStart"/>
      <w:r>
        <w:rPr>
          <w:rFonts w:ascii="Century Gothic" w:eastAsia="Century Gothic" w:hAnsi="Century Gothic" w:cs="Century Gothic"/>
          <w:i/>
          <w:sz w:val="22"/>
          <w:szCs w:val="22"/>
        </w:rPr>
        <w:t>Environment</w:t>
      </w:r>
      <w:proofErr w:type="spellEnd"/>
      <w:r>
        <w:rPr>
          <w:rFonts w:ascii="Century Gothic" w:eastAsia="Century Gothic" w:hAnsi="Century Gothic" w:cs="Century Gothic"/>
          <w:i/>
          <w:sz w:val="22"/>
          <w:szCs w:val="22"/>
        </w:rPr>
        <w:t xml:space="preserve">, Social and </w:t>
      </w:r>
      <w:proofErr w:type="spellStart"/>
      <w:r>
        <w:rPr>
          <w:rFonts w:ascii="Century Gothic" w:eastAsia="Century Gothic" w:hAnsi="Century Gothic" w:cs="Century Gothic"/>
          <w:i/>
          <w:sz w:val="22"/>
          <w:szCs w:val="22"/>
        </w:rPr>
        <w:t>Governance</w:t>
      </w:r>
      <w:proofErr w:type="spellEnd"/>
      <w:r>
        <w:rPr>
          <w:rFonts w:ascii="Century Gothic" w:eastAsia="Century Gothic" w:hAnsi="Century Gothic" w:cs="Century Gothic"/>
          <w:sz w:val="22"/>
          <w:szCs w:val="22"/>
        </w:rPr>
        <w:t xml:space="preserve"> (ESG) en su último reporte 2023-2024, y está adoptando aspectos de los estándares GRI. Planea desarrollar sus informes para cumplir con los requisitos del </w:t>
      </w:r>
      <w:r>
        <w:rPr>
          <w:rFonts w:ascii="Century Gothic" w:eastAsia="Century Gothic" w:hAnsi="Century Gothic" w:cs="Century Gothic"/>
          <w:i/>
          <w:sz w:val="22"/>
          <w:szCs w:val="22"/>
        </w:rPr>
        <w:t xml:space="preserve">International </w:t>
      </w:r>
      <w:proofErr w:type="spellStart"/>
      <w:r>
        <w:rPr>
          <w:rFonts w:ascii="Century Gothic" w:eastAsia="Century Gothic" w:hAnsi="Century Gothic" w:cs="Century Gothic"/>
          <w:i/>
          <w:sz w:val="22"/>
          <w:szCs w:val="22"/>
        </w:rPr>
        <w:t>Sustainability</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Standards</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Board</w:t>
      </w:r>
      <w:proofErr w:type="spellEnd"/>
      <w:r>
        <w:rPr>
          <w:rFonts w:ascii="Century Gothic" w:eastAsia="Century Gothic" w:hAnsi="Century Gothic" w:cs="Century Gothic"/>
          <w:sz w:val="22"/>
          <w:szCs w:val="22"/>
        </w:rPr>
        <w:t xml:space="preserve"> (ISSB) y la Directiva de Reporte de Sostenibilidad Corporativa (CSRD, en inglés) en los próximos años.</w:t>
      </w:r>
    </w:p>
    <w:p w14:paraId="0D7D0F49"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jeque Ahmed explicó: “Iniciamos nuestro año financiero 2024-2025 sobre bases sólidas para un crecimiento continuo. Emirates recibirá 10 nuevos aviones A350 en 2024-2025, lo que sumará valor a nuestra flota combinada y respaldará la siguiente fase de crecimiento de su red.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seguirá aprovechando las sinergias y la escala en sus </w:t>
      </w:r>
      <w:r>
        <w:rPr>
          <w:rFonts w:ascii="Century Gothic" w:eastAsia="Century Gothic" w:hAnsi="Century Gothic" w:cs="Century Gothic"/>
          <w:sz w:val="22"/>
          <w:szCs w:val="22"/>
        </w:rPr>
        <w:lastRenderedPageBreak/>
        <w:t>divisiones comerciales para aumentar su presencia y capacidades. Al mismo tiempo, estamos invirtiendo recursos para minimizar nuestro impacto ambiental, fomentar el desarrollo de nuestros empleados y cuidar de nuestros clientes y las comunidades a las que servimos”.</w:t>
      </w:r>
    </w:p>
    <w:p w14:paraId="11C0150D"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“Las perspectivas comerciales son positivas y esperamos que la demanda de transporte y de viajes aéreos de los clientes se mantenga sólida en los próximos meses. Como siempre, analizaremos con detalle los costes y los factores externos, como los precios del petróleo, las fluctuaciones monetarias y los entornos volátiles causados por cambios sociopolíticos. Nuestro modelo de negocio se ha puesto a prueba en el pasado y confío en nuestra resiliencia y capacidad para responder rápidamente ante las oportunidades y desafíos”, continúa. </w:t>
      </w:r>
    </w:p>
    <w:p w14:paraId="10F449AD"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Y concluye: “De cara al futuro, el gobierno de Dubái ha anunciado planes para iniciar la siguiente fase de expansión en el Aeropuerto Internacional Al Maktoum, que eventualmente será el nuevo centro de operaciones de Emirates y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Esta inversión de 128.000 millones de AED (35.000 millones de dólares estadounidenses) ampliará y mejorará significativamente la infraestructura de aviación y logística de Dubái, respaldando el crecimiento de la ciudad y el de Emirates y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w:t>
      </w:r>
    </w:p>
    <w:p w14:paraId="06BB1CEF" w14:textId="77777777" w:rsidR="00DB4E9F" w:rsidRDefault="00000000">
      <w:pP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Resultados de Emirates</w:t>
      </w:r>
    </w:p>
    <w:p w14:paraId="5351C14F"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capacidad total de pasajeros y carga de Emirates ha aumentado un 20 % en 57.700 millones de ATKM en 2023-24, recuperándose a niveles cercanos a los previos a la pandemia.</w:t>
      </w:r>
    </w:p>
    <w:p w14:paraId="0271CE4B"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Al brindar a los clientes más opciones de conexión, Emirates ha reiniciado los servicios a Tokio Haneda, ha añadido capacidad a 29 destinos y ha lanzado nuevos vuelos diarios a Montreal, Canadá. Emirates también ha firmado acuerdos de código compartido y de interlínea con 11 nuevas aerolíneas asociadas, ampliando aún más el alcance de su red. A fecha del 31 de marzo de 2024, la red de Emirates comprendía 151 destinos en todos los continentes, incluidas 10 ciudades servidas únicamente por su flota de carga.</w:t>
      </w:r>
    </w:p>
    <w:p w14:paraId="6303B782"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Emirates ha llevado su buque insignia A380 y su popular producto </w:t>
      </w:r>
      <w:r>
        <w:rPr>
          <w:rFonts w:ascii="Century Gothic" w:eastAsia="Century Gothic" w:hAnsi="Century Gothic" w:cs="Century Gothic"/>
          <w:i/>
          <w:sz w:val="22"/>
          <w:szCs w:val="22"/>
        </w:rPr>
        <w:t xml:space="preserve">Premium </w:t>
      </w:r>
      <w:proofErr w:type="spellStart"/>
      <w:r>
        <w:rPr>
          <w:rFonts w:ascii="Century Gothic" w:eastAsia="Century Gothic" w:hAnsi="Century Gothic" w:cs="Century Gothic"/>
          <w:i/>
          <w:sz w:val="22"/>
          <w:szCs w:val="22"/>
        </w:rPr>
        <w:t>Economy</w:t>
      </w:r>
      <w:proofErr w:type="spellEnd"/>
      <w:r>
        <w:rPr>
          <w:rFonts w:ascii="Century Gothic" w:eastAsia="Century Gothic" w:hAnsi="Century Gothic" w:cs="Century Gothic"/>
          <w:sz w:val="22"/>
          <w:szCs w:val="22"/>
        </w:rPr>
        <w:t xml:space="preserve"> a aún más ciudades este año, ya que 16 aviones más han completado su programa de modernización de cabinas de 2000 millones de dólares, renovados integralmente con los últimos productos exclusivos de la aerolínea. A fecha del 31 de marzo de 2024, el A380 de Emirates prestaba servicio a 49 destinos y los clientes podían disfrutar de la experiencia </w:t>
      </w:r>
      <w:r>
        <w:rPr>
          <w:rFonts w:ascii="Century Gothic" w:eastAsia="Century Gothic" w:hAnsi="Century Gothic" w:cs="Century Gothic"/>
          <w:i/>
          <w:sz w:val="22"/>
          <w:szCs w:val="22"/>
        </w:rPr>
        <w:t xml:space="preserve">Premium </w:t>
      </w:r>
      <w:proofErr w:type="spellStart"/>
      <w:r>
        <w:rPr>
          <w:rFonts w:ascii="Century Gothic" w:eastAsia="Century Gothic" w:hAnsi="Century Gothic" w:cs="Century Gothic"/>
          <w:i/>
          <w:sz w:val="22"/>
          <w:szCs w:val="22"/>
        </w:rPr>
        <w:t>Economy</w:t>
      </w:r>
      <w:proofErr w:type="spellEnd"/>
      <w:r>
        <w:rPr>
          <w:rFonts w:ascii="Century Gothic" w:eastAsia="Century Gothic" w:hAnsi="Century Gothic" w:cs="Century Gothic"/>
          <w:sz w:val="22"/>
          <w:szCs w:val="22"/>
        </w:rPr>
        <w:t xml:space="preserve"> de Emirates desde y hacia 15 ciudades de todo el mundo.</w:t>
      </w:r>
    </w:p>
    <w:p w14:paraId="20A3F323"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flota completa, a finales de marzo, era de 260 unidades, con una edad media de 10,1 años.</w:t>
      </w:r>
    </w:p>
    <w:p w14:paraId="4CB34853"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cartera de pedidos de Emirates asciende a 310 aviones, después de que anunciara pedidos por un valor combinado de 58.000 millones de dólares para 110 unidades adicionales de Boeing 777, 787 y Airbus A350 en el Salón Aeronáutico de Dubái de 2023. Estos aviones de fuselaje ancho de nueva generación reemplazarán a los aviones más antiguos y reforzarán el crecimiento de la flota, alineándose con el compromiso a largo plazo de la aerolínea de volar con aviones modernos que sean eficientes a nivel operativo y capaces de ofrecer a los clientes las últimas comodidades y experiencias a bordo.</w:t>
      </w:r>
    </w:p>
    <w:p w14:paraId="14EA845A"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Con un mayor despliegue de capacidad y una fuerte demanda en todos los mercados, los ingresos totales de Emirates para el ejercicio financiero han aumentado un 13 % hasta los 121.200 millones de AED (33.000 millones de dólares estadounidenses). Las fluctuaciones monetarias y las devaluaciones en algunos de los principales mercados de la aerolínea, en particular la rupia paquistaní, la libra egipcia y la rupia india, han impactado negativamente la rentabilidad de la aerolínea en 2000 millones de AED (600 millones de dólares estadounidenses).</w:t>
      </w:r>
    </w:p>
    <w:p w14:paraId="03E42F44"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aerolínea ha registrado un flujo de caja operativo de 37.600 millones de AED (10.300 millones de dólares estadounidenses) en 2023-2024, lo que respalda sus sólidos resultados comerciales y permite a la aerolínea hacer crecer el negocio en el futuro.</w:t>
      </w:r>
    </w:p>
    <w:p w14:paraId="63F5EA84"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Los costes operativos totales han crecido un 8 % con respecto al último año financiero. El coste de propiedad (depreciación y amortización) y el coste del combustible han sido los dos componentes de costes más importantes de la aerolínea en 2023-2024, seguidos por el coste de los empleados. El combustible ha representado </w:t>
      </w:r>
      <w:proofErr w:type="gramStart"/>
      <w:r>
        <w:rPr>
          <w:rFonts w:ascii="Century Gothic" w:eastAsia="Century Gothic" w:hAnsi="Century Gothic" w:cs="Century Gothic"/>
          <w:sz w:val="22"/>
          <w:szCs w:val="22"/>
        </w:rPr>
        <w:t>el  34</w:t>
      </w:r>
      <w:proofErr w:type="gramEnd"/>
      <w:r>
        <w:rPr>
          <w:rFonts w:ascii="Century Gothic" w:eastAsia="Century Gothic" w:hAnsi="Century Gothic" w:cs="Century Gothic"/>
          <w:sz w:val="22"/>
          <w:szCs w:val="22"/>
        </w:rPr>
        <w:t xml:space="preserve"> % de los costes operativos en comparación con el 36 % del año 2022-2023. La factura de combustible de la aerolínea se ha incrementado ligeramente hasta los 34.200 millones de AED (9300 millones de dólares estadounidenses) en comparación con los 33.700 millones de AED (9200 millones de dólares estadounidenses) del año anterior, con un aumento del 24 % debido al incremento de los vuelos, que se ha equilibrado con un precio promedio más bajo del combustible (baja un 18 %), incluidas las ganancias derivadas de las operaciones de cobertura.</w:t>
      </w:r>
    </w:p>
    <w:p w14:paraId="6C32A73D"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Impulsada por la fortaleza de su red global y el atractivo de sus productos, la aerolínea ha alcanzado un nuevo récord de beneficios de 17.200 millones de AED (</w:t>
      </w:r>
      <w:proofErr w:type="gramStart"/>
      <w:r>
        <w:rPr>
          <w:rFonts w:ascii="Century Gothic" w:eastAsia="Century Gothic" w:hAnsi="Century Gothic" w:cs="Century Gothic"/>
          <w:sz w:val="22"/>
          <w:szCs w:val="22"/>
        </w:rPr>
        <w:t>4700  millones</w:t>
      </w:r>
      <w:proofErr w:type="gramEnd"/>
      <w:r>
        <w:rPr>
          <w:rFonts w:ascii="Century Gothic" w:eastAsia="Century Gothic" w:hAnsi="Century Gothic" w:cs="Century Gothic"/>
          <w:sz w:val="22"/>
          <w:szCs w:val="22"/>
        </w:rPr>
        <w:t xml:space="preserve"> de dólares), superando el resultado del año pasado de 10.600 millones de AED (2900 millones de dólares), con un margen de beneficios excepcional del 14,2  %, lo que supone el mejor resultado de la historia de la aerolínea. </w:t>
      </w:r>
    </w:p>
    <w:p w14:paraId="6E46AE77" w14:textId="37DEC0F3"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ha transportado 51,9 millones de pasajeros (un aumento del 19 %) en 2023-24, con una capacidad de asientos que se ha incrementado un 21 %. La aerolínea informa de un </w:t>
      </w:r>
      <w:r>
        <w:rPr>
          <w:rFonts w:ascii="Century Gothic" w:eastAsia="Century Gothic" w:hAnsi="Century Gothic" w:cs="Century Gothic"/>
          <w:i/>
          <w:sz w:val="22"/>
          <w:szCs w:val="22"/>
        </w:rPr>
        <w:t xml:space="preserve">Passenger </w:t>
      </w:r>
      <w:proofErr w:type="spellStart"/>
      <w:r>
        <w:rPr>
          <w:rFonts w:ascii="Century Gothic" w:eastAsia="Century Gothic" w:hAnsi="Century Gothic" w:cs="Century Gothic"/>
          <w:i/>
          <w:sz w:val="22"/>
          <w:szCs w:val="22"/>
        </w:rPr>
        <w:t>Seat</w:t>
      </w:r>
      <w:proofErr w:type="spellEnd"/>
      <w:r>
        <w:rPr>
          <w:rFonts w:ascii="Century Gothic" w:eastAsia="Century Gothic" w:hAnsi="Century Gothic" w:cs="Century Gothic"/>
          <w:i/>
          <w:sz w:val="22"/>
          <w:szCs w:val="22"/>
        </w:rPr>
        <w:t xml:space="preserve"> Factor</w:t>
      </w:r>
      <w:r>
        <w:rPr>
          <w:rFonts w:ascii="Century Gothic" w:eastAsia="Century Gothic" w:hAnsi="Century Gothic" w:cs="Century Gothic"/>
          <w:sz w:val="22"/>
          <w:szCs w:val="22"/>
        </w:rPr>
        <w:t xml:space="preserve"> del 79,9 %, frente al 79,5 % del año pasado. El</w:t>
      </w:r>
      <w:r>
        <w:rPr>
          <w:rFonts w:ascii="Century Gothic" w:eastAsia="Century Gothic" w:hAnsi="Century Gothic" w:cs="Century Gothic"/>
          <w:i/>
          <w:sz w:val="22"/>
          <w:szCs w:val="22"/>
        </w:rPr>
        <w:t xml:space="preserve"> Passenger </w:t>
      </w:r>
      <w:proofErr w:type="spellStart"/>
      <w:r>
        <w:rPr>
          <w:rFonts w:ascii="Century Gothic" w:eastAsia="Century Gothic" w:hAnsi="Century Gothic" w:cs="Century Gothic"/>
          <w:i/>
          <w:sz w:val="22"/>
          <w:szCs w:val="22"/>
        </w:rPr>
        <w:t>yield</w:t>
      </w:r>
      <w:proofErr w:type="spellEnd"/>
      <w:r>
        <w:rPr>
          <w:rFonts w:ascii="Century Gothic" w:eastAsia="Century Gothic" w:hAnsi="Century Gothic" w:cs="Century Gothic"/>
          <w:i/>
          <w:sz w:val="22"/>
          <w:szCs w:val="22"/>
        </w:rPr>
        <w:t xml:space="preserve"> </w:t>
      </w:r>
      <w:r>
        <w:rPr>
          <w:rFonts w:ascii="Century Gothic" w:eastAsia="Century Gothic" w:hAnsi="Century Gothic" w:cs="Century Gothic"/>
          <w:sz w:val="22"/>
          <w:szCs w:val="22"/>
        </w:rPr>
        <w:t xml:space="preserve">ha disminuido un 2 % en 36,6 fils (10 centavos de dólar estadounidense) por </w:t>
      </w:r>
      <w:proofErr w:type="spellStart"/>
      <w:r>
        <w:rPr>
          <w:rFonts w:ascii="Century Gothic" w:eastAsia="Century Gothic" w:hAnsi="Century Gothic" w:cs="Century Gothic"/>
          <w:i/>
          <w:sz w:val="22"/>
          <w:szCs w:val="22"/>
        </w:rPr>
        <w:t>Revenue</w:t>
      </w:r>
      <w:proofErr w:type="spellEnd"/>
      <w:r>
        <w:rPr>
          <w:rFonts w:ascii="Century Gothic" w:eastAsia="Century Gothic" w:hAnsi="Century Gothic" w:cs="Century Gothic"/>
          <w:i/>
          <w:sz w:val="22"/>
          <w:szCs w:val="22"/>
        </w:rPr>
        <w:t xml:space="preserve"> Passenger Kilometre </w:t>
      </w:r>
      <w:r>
        <w:rPr>
          <w:rFonts w:ascii="Century Gothic" w:eastAsia="Century Gothic" w:hAnsi="Century Gothic" w:cs="Century Gothic"/>
          <w:sz w:val="22"/>
          <w:szCs w:val="22"/>
        </w:rPr>
        <w:t>(RPKM),</w:t>
      </w:r>
      <w:r>
        <w:rPr>
          <w:rFonts w:ascii="Century Gothic" w:eastAsia="Century Gothic" w:hAnsi="Century Gothic" w:cs="Century Gothic"/>
          <w:i/>
          <w:sz w:val="22"/>
          <w:szCs w:val="22"/>
        </w:rPr>
        <w:t xml:space="preserve"> </w:t>
      </w:r>
      <w:r>
        <w:rPr>
          <w:rFonts w:ascii="Century Gothic" w:eastAsia="Century Gothic" w:hAnsi="Century Gothic" w:cs="Century Gothic"/>
          <w:sz w:val="22"/>
          <w:szCs w:val="22"/>
        </w:rPr>
        <w:t>debido a un cambio en la combinación de cabinas y rutas, las tarifas y la moneda.</w:t>
      </w:r>
    </w:p>
    <w:p w14:paraId="28A00D3C"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ha seguido invirtiendo para ofrecer experiencias cada vez mejores a los clientes. Durante el año, ha invertido 30 millones de AED para actualizar sus salas </w:t>
      </w:r>
      <w:proofErr w:type="gramStart"/>
      <w:r>
        <w:rPr>
          <w:rFonts w:ascii="Century Gothic" w:eastAsia="Century Gothic" w:hAnsi="Century Gothic" w:cs="Century Gothic"/>
          <w:sz w:val="22"/>
          <w:szCs w:val="22"/>
        </w:rPr>
        <w:t>VIP  con</w:t>
      </w:r>
      <w:proofErr w:type="gramEnd"/>
      <w:r>
        <w:rPr>
          <w:rFonts w:ascii="Century Gothic" w:eastAsia="Century Gothic" w:hAnsi="Century Gothic" w:cs="Century Gothic"/>
          <w:sz w:val="22"/>
          <w:szCs w:val="22"/>
        </w:rPr>
        <w:t xml:space="preserve"> instalaciones renovadas que han vuelto a abrir sus puertas para atender a clientes </w:t>
      </w:r>
      <w:r>
        <w:rPr>
          <w:rFonts w:ascii="Century Gothic" w:eastAsia="Century Gothic" w:hAnsi="Century Gothic" w:cs="Century Gothic"/>
          <w:i/>
          <w:sz w:val="22"/>
          <w:szCs w:val="22"/>
        </w:rPr>
        <w:t xml:space="preserve">premium </w:t>
      </w:r>
      <w:r>
        <w:rPr>
          <w:rFonts w:ascii="Century Gothic" w:eastAsia="Century Gothic" w:hAnsi="Century Gothic" w:cs="Century Gothic"/>
          <w:sz w:val="22"/>
          <w:szCs w:val="22"/>
        </w:rPr>
        <w:t xml:space="preserve">y a viajeros frecuentes en Brisbane, Dusseldorf, Frankfurt, Hamburgo, Hong Kong, Johannesburgo, Manchester y </w:t>
      </w:r>
      <w:proofErr w:type="spellStart"/>
      <w:r>
        <w:rPr>
          <w:rFonts w:ascii="Century Gothic" w:eastAsia="Century Gothic" w:hAnsi="Century Gothic" w:cs="Century Gothic"/>
          <w:sz w:val="22"/>
          <w:szCs w:val="22"/>
        </w:rPr>
        <w:t>Munich</w:t>
      </w:r>
      <w:proofErr w:type="spellEnd"/>
      <w:r>
        <w:rPr>
          <w:rFonts w:ascii="Century Gothic" w:eastAsia="Century Gothic" w:hAnsi="Century Gothic" w:cs="Century Gothic"/>
          <w:sz w:val="22"/>
          <w:szCs w:val="22"/>
        </w:rPr>
        <w:t xml:space="preserve">. Emirates ha reanudado su exclusivo servicio </w:t>
      </w:r>
      <w:proofErr w:type="spellStart"/>
      <w:r>
        <w:rPr>
          <w:rFonts w:ascii="Century Gothic" w:eastAsia="Century Gothic" w:hAnsi="Century Gothic" w:cs="Century Gothic"/>
          <w:i/>
          <w:sz w:val="22"/>
          <w:szCs w:val="22"/>
        </w:rPr>
        <w:t>Chauffeur</w:t>
      </w:r>
      <w:proofErr w:type="spellEnd"/>
      <w:r>
        <w:rPr>
          <w:rFonts w:ascii="Century Gothic" w:eastAsia="Century Gothic" w:hAnsi="Century Gothic" w:cs="Century Gothic"/>
          <w:i/>
          <w:sz w:val="22"/>
          <w:szCs w:val="22"/>
        </w:rPr>
        <w:t xml:space="preserve"> Drive</w:t>
      </w:r>
      <w:r>
        <w:rPr>
          <w:rFonts w:ascii="Century Gothic" w:eastAsia="Century Gothic" w:hAnsi="Century Gothic" w:cs="Century Gothic"/>
          <w:sz w:val="22"/>
          <w:szCs w:val="22"/>
        </w:rPr>
        <w:t xml:space="preserve"> en 82 ciudades de su red y ha introducido esta oferta gratuita a clientes </w:t>
      </w:r>
      <w:r>
        <w:rPr>
          <w:rFonts w:ascii="Century Gothic" w:eastAsia="Century Gothic" w:hAnsi="Century Gothic" w:cs="Century Gothic"/>
          <w:i/>
          <w:sz w:val="22"/>
          <w:szCs w:val="22"/>
        </w:rPr>
        <w:t xml:space="preserve">premium </w:t>
      </w:r>
      <w:r>
        <w:rPr>
          <w:rFonts w:ascii="Century Gothic" w:eastAsia="Century Gothic" w:hAnsi="Century Gothic" w:cs="Century Gothic"/>
          <w:sz w:val="22"/>
          <w:szCs w:val="22"/>
        </w:rPr>
        <w:t>en Indonesia, Marruecos y Turquía.</w:t>
      </w:r>
    </w:p>
    <w:p w14:paraId="1F286FF8" w14:textId="77777777" w:rsidR="00DB4E9F" w:rsidRDefault="00000000">
      <w:pPr>
        <w:spacing w:before="280" w:line="360" w:lineRule="auto"/>
        <w:jc w:val="both"/>
        <w:rPr>
          <w:rFonts w:ascii="Century Gothic" w:eastAsia="Century Gothic" w:hAnsi="Century Gothic" w:cs="Century Gothic"/>
          <w:i/>
          <w:sz w:val="22"/>
          <w:szCs w:val="22"/>
        </w:rPr>
      </w:pPr>
      <w:r>
        <w:rPr>
          <w:rFonts w:ascii="Century Gothic" w:eastAsia="Century Gothic" w:hAnsi="Century Gothic" w:cs="Century Gothic"/>
          <w:sz w:val="22"/>
          <w:szCs w:val="22"/>
        </w:rPr>
        <w:lastRenderedPageBreak/>
        <w:t xml:space="preserve">La aerolínea también ha implementado una serie de mejoras a bordo, desde menús y </w:t>
      </w:r>
      <w:proofErr w:type="spellStart"/>
      <w:r>
        <w:rPr>
          <w:rFonts w:ascii="Century Gothic" w:eastAsia="Century Gothic" w:hAnsi="Century Gothic" w:cs="Century Gothic"/>
          <w:i/>
          <w:sz w:val="22"/>
          <w:szCs w:val="22"/>
        </w:rPr>
        <w:t>amenities</w:t>
      </w:r>
      <w:proofErr w:type="spellEnd"/>
      <w:r>
        <w:rPr>
          <w:rFonts w:ascii="Century Gothic" w:eastAsia="Century Gothic" w:hAnsi="Century Gothic" w:cs="Century Gothic"/>
          <w:i/>
          <w:sz w:val="22"/>
          <w:szCs w:val="22"/>
        </w:rPr>
        <w:t xml:space="preserve"> </w:t>
      </w:r>
      <w:r>
        <w:rPr>
          <w:rFonts w:ascii="Century Gothic" w:eastAsia="Century Gothic" w:hAnsi="Century Gothic" w:cs="Century Gothic"/>
          <w:sz w:val="22"/>
          <w:szCs w:val="22"/>
        </w:rPr>
        <w:t xml:space="preserve">hasta contenido de entretenimiento, entre las cuales se encuentra el lanzamiento de </w:t>
      </w:r>
      <w:proofErr w:type="spellStart"/>
      <w:r>
        <w:rPr>
          <w:rFonts w:ascii="Century Gothic" w:eastAsia="Century Gothic" w:hAnsi="Century Gothic" w:cs="Century Gothic"/>
          <w:i/>
          <w:sz w:val="22"/>
          <w:szCs w:val="22"/>
        </w:rPr>
        <w:t>loungewear</w:t>
      </w:r>
      <w:proofErr w:type="spellEnd"/>
      <w:r>
        <w:rPr>
          <w:rFonts w:ascii="Century Gothic" w:eastAsia="Century Gothic" w:hAnsi="Century Gothic" w:cs="Century Gothic"/>
          <w:i/>
          <w:sz w:val="22"/>
          <w:szCs w:val="22"/>
        </w:rPr>
        <w:t xml:space="preserve"> </w:t>
      </w:r>
      <w:r>
        <w:rPr>
          <w:rFonts w:ascii="Century Gothic" w:eastAsia="Century Gothic" w:hAnsi="Century Gothic" w:cs="Century Gothic"/>
          <w:sz w:val="22"/>
          <w:szCs w:val="22"/>
        </w:rPr>
        <w:t xml:space="preserve">de cortesía y pedidos anticipados de comida en </w:t>
      </w:r>
      <w:r>
        <w:rPr>
          <w:rFonts w:ascii="Century Gothic" w:eastAsia="Century Gothic" w:hAnsi="Century Gothic" w:cs="Century Gothic"/>
          <w:i/>
          <w:sz w:val="22"/>
          <w:szCs w:val="22"/>
        </w:rPr>
        <w:t xml:space="preserve">Business </w:t>
      </w:r>
      <w:proofErr w:type="spellStart"/>
      <w:r>
        <w:rPr>
          <w:rFonts w:ascii="Century Gothic" w:eastAsia="Century Gothic" w:hAnsi="Century Gothic" w:cs="Century Gothic"/>
          <w:i/>
          <w:sz w:val="22"/>
          <w:szCs w:val="22"/>
        </w:rPr>
        <w:t>Class</w:t>
      </w:r>
      <w:proofErr w:type="spellEnd"/>
      <w:r>
        <w:rPr>
          <w:rFonts w:ascii="Century Gothic" w:eastAsia="Century Gothic" w:hAnsi="Century Gothic" w:cs="Century Gothic"/>
          <w:i/>
          <w:sz w:val="22"/>
          <w:szCs w:val="22"/>
        </w:rPr>
        <w:t>.</w:t>
      </w:r>
    </w:p>
    <w:p w14:paraId="6D5C4745"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ha reafirmado su posición de liderazgo en la logística y el comercio aéreo mundial, transportando 2200 millones de toneladas de mercancías en todo el mundo en 2023-2024, un 18 % más que el año anterior, ya que el aumento de las operaciones de pasajeros ha ampliado la capacidad de carga disponible y el arrendamiento de tres aviones de carga 747. Durante el año se ha liberado capacidad inmediata para atender la demanda en rutas muy transitadas. Esto refleja la alta demanda de los clientes por sus soluciones logísticas especializadas, el alcance y la conectividad de la red global de Emirates, las capacidades del centro marítimo-aéreo de primer nivel de Dubái y los frutos de las continuas inversiones de Emirates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en tecnología, infraestructura y productos digitales.</w:t>
      </w:r>
    </w:p>
    <w:p w14:paraId="08271B87"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pesar de los continuos desafíos en la logística global, la división de carga ha reportado unos ingresos sólidos de 13.600 millones de AED (3700 millones de dólares estadounidenses), lo que ha contribuido con el 11 % de los ingresos totales de la aerolínea. El rendimiento de carga por </w:t>
      </w:r>
      <w:proofErr w:type="spellStart"/>
      <w:r>
        <w:rPr>
          <w:rFonts w:ascii="Century Gothic" w:eastAsia="Century Gothic" w:hAnsi="Century Gothic" w:cs="Century Gothic"/>
          <w:i/>
          <w:sz w:val="22"/>
          <w:szCs w:val="22"/>
        </w:rPr>
        <w:t>Freight</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Tonne</w:t>
      </w:r>
      <w:proofErr w:type="spellEnd"/>
      <w:r>
        <w:rPr>
          <w:rFonts w:ascii="Century Gothic" w:eastAsia="Century Gothic" w:hAnsi="Century Gothic" w:cs="Century Gothic"/>
          <w:i/>
          <w:sz w:val="22"/>
          <w:szCs w:val="22"/>
        </w:rPr>
        <w:t xml:space="preserve"> Kilometre </w:t>
      </w:r>
      <w:r>
        <w:rPr>
          <w:rFonts w:ascii="Century Gothic" w:eastAsia="Century Gothic" w:hAnsi="Century Gothic" w:cs="Century Gothic"/>
          <w:sz w:val="22"/>
          <w:szCs w:val="22"/>
        </w:rPr>
        <w:t>(FTKM) ha disminuido un 32 %, volviendo a los niveles de mercado anteriores a la pandemia.</w:t>
      </w:r>
    </w:p>
    <w:p w14:paraId="5F57CE73"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Durante el año, ha lanzado </w:t>
      </w:r>
      <w:r>
        <w:rPr>
          <w:rFonts w:ascii="Century Gothic" w:eastAsia="Century Gothic" w:hAnsi="Century Gothic" w:cs="Century Gothic"/>
          <w:i/>
          <w:sz w:val="22"/>
          <w:szCs w:val="22"/>
        </w:rPr>
        <w:t>Emirates Vital</w:t>
      </w:r>
      <w:r>
        <w:rPr>
          <w:rFonts w:ascii="Century Gothic" w:eastAsia="Century Gothic" w:hAnsi="Century Gothic" w:cs="Century Gothic"/>
          <w:sz w:val="22"/>
          <w:szCs w:val="22"/>
        </w:rPr>
        <w:t xml:space="preserve"> y </w:t>
      </w:r>
      <w:r>
        <w:rPr>
          <w:rFonts w:ascii="Century Gothic" w:eastAsia="Century Gothic" w:hAnsi="Century Gothic" w:cs="Century Gothic"/>
          <w:i/>
          <w:sz w:val="22"/>
          <w:szCs w:val="22"/>
        </w:rPr>
        <w:t xml:space="preserve">Emirates Medical </w:t>
      </w:r>
      <w:proofErr w:type="spellStart"/>
      <w:r>
        <w:rPr>
          <w:rFonts w:ascii="Century Gothic" w:eastAsia="Century Gothic" w:hAnsi="Century Gothic" w:cs="Century Gothic"/>
          <w:i/>
          <w:sz w:val="22"/>
          <w:szCs w:val="22"/>
        </w:rPr>
        <w:t>Devices</w:t>
      </w:r>
      <w:proofErr w:type="spellEnd"/>
      <w:r>
        <w:rPr>
          <w:rFonts w:ascii="Century Gothic" w:eastAsia="Century Gothic" w:hAnsi="Century Gothic" w:cs="Century Gothic"/>
          <w:sz w:val="22"/>
          <w:szCs w:val="22"/>
        </w:rPr>
        <w:t xml:space="preserve">, dos soluciones de carga diseñadas específicamente para satisfacer los requisitos únicos del sector de la biociencia y la atención médica. También ha lanzado </w:t>
      </w:r>
      <w:r>
        <w:rPr>
          <w:rFonts w:ascii="Century Gothic" w:eastAsia="Century Gothic" w:hAnsi="Century Gothic" w:cs="Century Gothic"/>
          <w:i/>
          <w:sz w:val="22"/>
          <w:szCs w:val="22"/>
        </w:rPr>
        <w:t xml:space="preserve">Emirates </w:t>
      </w:r>
      <w:proofErr w:type="spellStart"/>
      <w:r>
        <w:rPr>
          <w:rFonts w:ascii="Century Gothic" w:eastAsia="Century Gothic" w:hAnsi="Century Gothic" w:cs="Century Gothic"/>
          <w:i/>
          <w:sz w:val="22"/>
          <w:szCs w:val="22"/>
        </w:rPr>
        <w:t>Delivers</w:t>
      </w:r>
      <w:proofErr w:type="spellEnd"/>
      <w:r>
        <w:rPr>
          <w:rFonts w:ascii="Century Gothic" w:eastAsia="Century Gothic" w:hAnsi="Century Gothic" w:cs="Century Gothic"/>
          <w:sz w:val="22"/>
          <w:szCs w:val="22"/>
        </w:rPr>
        <w:t xml:space="preserve"> en Kuwait para conectar a los compradores allí con marcas de comercio electrónico en el Reino Unido, EE. UU. y los Emiratos Árabes Unidos. </w:t>
      </w:r>
      <w:r>
        <w:rPr>
          <w:rFonts w:ascii="Century Gothic" w:eastAsia="Century Gothic" w:hAnsi="Century Gothic" w:cs="Century Gothic"/>
          <w:i/>
          <w:sz w:val="22"/>
          <w:szCs w:val="22"/>
        </w:rPr>
        <w:t xml:space="preserve">Emirates </w:t>
      </w:r>
      <w:proofErr w:type="spellStart"/>
      <w:r>
        <w:rPr>
          <w:rFonts w:ascii="Century Gothic" w:eastAsia="Century Gothic" w:hAnsi="Century Gothic" w:cs="Century Gothic"/>
          <w:i/>
          <w:sz w:val="22"/>
          <w:szCs w:val="22"/>
        </w:rPr>
        <w:t>Delivers</w:t>
      </w:r>
      <w:proofErr w:type="spellEnd"/>
      <w:r>
        <w:rPr>
          <w:rFonts w:ascii="Century Gothic" w:eastAsia="Century Gothic" w:hAnsi="Century Gothic" w:cs="Century Gothic"/>
          <w:sz w:val="22"/>
          <w:szCs w:val="22"/>
        </w:rPr>
        <w:t xml:space="preserve"> está preparado para escalar significativamente en los próximos años, centrándose en mercados desatendidos con soluciones de entrega de empresa a consumidor.</w:t>
      </w:r>
    </w:p>
    <w:p w14:paraId="46980BC3"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A finales de 2023-2024, la flota total de cargueros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de Emirates era de 11 Boeing 777F. La división de carga espera la entrega de cinco Boeing 777F adicionales a partir de mediados de 2024.</w:t>
      </w:r>
    </w:p>
    <w:p w14:paraId="52080697"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los negocios y filiales de Emirates </w:t>
      </w:r>
      <w:proofErr w:type="spellStart"/>
      <w:r>
        <w:rPr>
          <w:rFonts w:ascii="Century Gothic" w:eastAsia="Century Gothic" w:hAnsi="Century Gothic" w:cs="Century Gothic"/>
          <w:sz w:val="22"/>
          <w:szCs w:val="22"/>
        </w:rPr>
        <w:t>Group</w:t>
      </w:r>
      <w:proofErr w:type="spellEnd"/>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Emirates Flight Catering</w:t>
      </w:r>
      <w:r>
        <w:rPr>
          <w:rFonts w:ascii="Century Gothic" w:eastAsia="Century Gothic" w:hAnsi="Century Gothic" w:cs="Century Gothic"/>
          <w:sz w:val="22"/>
          <w:szCs w:val="22"/>
        </w:rPr>
        <w:t xml:space="preserve"> y </w:t>
      </w:r>
      <w:r>
        <w:rPr>
          <w:rFonts w:ascii="Century Gothic" w:eastAsia="Century Gothic" w:hAnsi="Century Gothic" w:cs="Century Gothic"/>
          <w:i/>
          <w:sz w:val="22"/>
          <w:szCs w:val="22"/>
        </w:rPr>
        <w:t xml:space="preserve">MMI/Emirates </w:t>
      </w:r>
      <w:proofErr w:type="spellStart"/>
      <w:r>
        <w:rPr>
          <w:rFonts w:ascii="Century Gothic" w:eastAsia="Century Gothic" w:hAnsi="Century Gothic" w:cs="Century Gothic"/>
          <w:i/>
          <w:sz w:val="22"/>
          <w:szCs w:val="22"/>
        </w:rPr>
        <w:t>Leisure</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Retail</w:t>
      </w:r>
      <w:proofErr w:type="spellEnd"/>
      <w:r>
        <w:rPr>
          <w:rFonts w:ascii="Century Gothic" w:eastAsia="Century Gothic" w:hAnsi="Century Gothic" w:cs="Century Gothic"/>
          <w:i/>
          <w:sz w:val="22"/>
          <w:szCs w:val="22"/>
        </w:rPr>
        <w:t xml:space="preserve"> (ELR)</w:t>
      </w:r>
      <w:r>
        <w:rPr>
          <w:rFonts w:ascii="Century Gothic" w:eastAsia="Century Gothic" w:hAnsi="Century Gothic" w:cs="Century Gothic"/>
          <w:sz w:val="22"/>
          <w:szCs w:val="22"/>
        </w:rPr>
        <w:t xml:space="preserve"> han anunciado resultados notables en 2023-24.</w:t>
      </w:r>
    </w:p>
    <w:p w14:paraId="18F1A507"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Emirates Flight Catering</w:t>
      </w:r>
      <w:r>
        <w:rPr>
          <w:rFonts w:ascii="Century Gothic" w:eastAsia="Century Gothic" w:hAnsi="Century Gothic" w:cs="Century Gothic"/>
          <w:sz w:val="22"/>
          <w:szCs w:val="22"/>
        </w:rPr>
        <w:t xml:space="preserve"> ha alcanzado ingresos récord de 970 millones de AED (264 millones de dólares estadounidenses) de sus clientes externos, impulsados por el crecimiento del tráfico en los aeropuertos de Dubái. Ha suministrado 76,9 millones de comidas a clientes aéreos, un 19 % más que el año anterior, y ha experimentado una creciente demanda de sus otros negocios auxiliares, incluido </w:t>
      </w:r>
      <w:proofErr w:type="spellStart"/>
      <w:r>
        <w:rPr>
          <w:rFonts w:ascii="Century Gothic" w:eastAsia="Century Gothic" w:hAnsi="Century Gothic" w:cs="Century Gothic"/>
          <w:sz w:val="22"/>
          <w:szCs w:val="22"/>
        </w:rPr>
        <w:t>Linencraft</w:t>
      </w:r>
      <w:proofErr w:type="spellEnd"/>
      <w:r>
        <w:rPr>
          <w:rFonts w:ascii="Century Gothic" w:eastAsia="Century Gothic" w:hAnsi="Century Gothic" w:cs="Century Gothic"/>
          <w:sz w:val="22"/>
          <w:szCs w:val="22"/>
        </w:rPr>
        <w:t>, su instalación de lavandería que atiende principalmente a clientes aéreos y de hotelería.</w:t>
      </w:r>
    </w:p>
    <w:p w14:paraId="0954ACAD"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ingresos de </w:t>
      </w:r>
      <w:r>
        <w:rPr>
          <w:rFonts w:ascii="Century Gothic" w:eastAsia="Century Gothic" w:hAnsi="Century Gothic" w:cs="Century Gothic"/>
          <w:b/>
          <w:sz w:val="22"/>
          <w:szCs w:val="22"/>
        </w:rPr>
        <w:t xml:space="preserve">MMI/ELR </w:t>
      </w:r>
      <w:r>
        <w:rPr>
          <w:rFonts w:ascii="Century Gothic" w:eastAsia="Century Gothic" w:hAnsi="Century Gothic" w:cs="Century Gothic"/>
          <w:sz w:val="22"/>
          <w:szCs w:val="22"/>
        </w:rPr>
        <w:t>han aumentado un 18 %, hasta los 2900 millones de AED (796 millones de dólares estadounidenses), a medida que ha expandido las operaciones en los EAU para satisfacer la creciente demanda mayorista y minorista impulsada por el floreciente sector turístico. ELR ha registrado un crecimiento récord en las ventas a nivel mundial, con importantes contribuciones de sus mercados clave de los Emiratos Árabes Unidos, Estados Unidos y Australia.</w:t>
      </w:r>
    </w:p>
    <w:p w14:paraId="107125FE"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ingresos de la </w:t>
      </w:r>
      <w:r>
        <w:rPr>
          <w:rFonts w:ascii="Century Gothic" w:eastAsia="Century Gothic" w:hAnsi="Century Gothic" w:cs="Century Gothic"/>
          <w:b/>
          <w:sz w:val="22"/>
          <w:szCs w:val="22"/>
        </w:rPr>
        <w:t>cartera de hoteles de Emirates</w:t>
      </w:r>
      <w:r>
        <w:rPr>
          <w:rFonts w:ascii="Century Gothic" w:eastAsia="Century Gothic" w:hAnsi="Century Gothic" w:cs="Century Gothic"/>
          <w:sz w:val="22"/>
          <w:szCs w:val="22"/>
        </w:rPr>
        <w:t xml:space="preserve"> durante el año pasado han bajado un 2 %, hasta los 660 millones de AED (180 millones de dólares estadounidenses), lo que refleja el cierre temporal de su complejo turístico </w:t>
      </w:r>
      <w:proofErr w:type="spellStart"/>
      <w:r>
        <w:rPr>
          <w:rFonts w:ascii="Century Gothic" w:eastAsia="Century Gothic" w:hAnsi="Century Gothic" w:cs="Century Gothic"/>
          <w:sz w:val="22"/>
          <w:szCs w:val="22"/>
        </w:rPr>
        <w:t>Wolgan</w:t>
      </w:r>
      <w:proofErr w:type="spellEnd"/>
      <w:r>
        <w:rPr>
          <w:rFonts w:ascii="Century Gothic" w:eastAsia="Century Gothic" w:hAnsi="Century Gothic" w:cs="Century Gothic"/>
          <w:sz w:val="22"/>
          <w:szCs w:val="22"/>
        </w:rPr>
        <w:t xml:space="preserve"> Valley en Australia.</w:t>
      </w:r>
    </w:p>
    <w:p w14:paraId="5FCB3D24"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Tras otro año de sólidos resultados, Emirates ha seguido cumpliendo con todas sus obligaciones de pago regulares relacionadas con los aviones y ha reembolsado 2200 millones de AED (596 millones de dólares estadounidenses) adicionales de los 17.500 millones de AED (4800 millones de dólares estadounidenses) prestados durante la crisis de la COVID-19. Esto ha reducido sustancialmente su perfil de deuda pendiente y coloca a la aerolínea en una base sólida para financiar su crecimiento futuro y el programa de adquisición de nueva flota.</w:t>
      </w:r>
    </w:p>
    <w:p w14:paraId="12F56CF1"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En respuesta a los retos planteados por la volatilidad de los mercados de combustible durante este ejercicio, Emirates ha desplegado simples contratos a plazo y opciones en diferentes productos, como el </w:t>
      </w:r>
      <w:r>
        <w:rPr>
          <w:rFonts w:ascii="Century Gothic" w:eastAsia="Century Gothic" w:hAnsi="Century Gothic" w:cs="Century Gothic"/>
          <w:i/>
          <w:sz w:val="22"/>
          <w:szCs w:val="22"/>
        </w:rPr>
        <w:t xml:space="preserve">brent </w:t>
      </w:r>
      <w:r>
        <w:rPr>
          <w:rFonts w:ascii="Century Gothic" w:eastAsia="Century Gothic" w:hAnsi="Century Gothic" w:cs="Century Gothic"/>
          <w:sz w:val="22"/>
          <w:szCs w:val="22"/>
        </w:rPr>
        <w:t>y el combustible para aviones, con el fin de reducir los costes del año en curso y garantizar importantes volúmenes de cobertura en el futuro. Además, ha mitigado en gran medida el impacto del régimen de tipos de interés más altos sobre los resultados con una gestión eficaz de la exposición neta. Emirates ha continuado con su estrategia equilibrada para gestionar el riesgo de tipo de cambio mediante el uso de opciones sobre divisas, contratos a plazo y coberturas naturales. Este enfoque metódico ha permitido mejorar la previsibilidad de sus flujos de tesorería frente a los volátiles cambios del mercado, reforzando así la estabilidad financiera.</w:t>
      </w:r>
    </w:p>
    <w:p w14:paraId="6C610B60"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Emirates ha cerrado el año financiero con su nivel más alto de activos en efectivo hasta la fecha: 42.900 millones de AED (11.700 millones de dólares estadounidenses), un 15 % más que el 31 de marzo de 2023.</w:t>
      </w:r>
    </w:p>
    <w:p w14:paraId="61FE5A0F" w14:textId="77777777" w:rsidR="00DB4E9F" w:rsidRDefault="00000000">
      <w:pP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Resultados de </w:t>
      </w:r>
      <w:proofErr w:type="spellStart"/>
      <w:r>
        <w:rPr>
          <w:rFonts w:ascii="Century Gothic" w:eastAsia="Century Gothic" w:hAnsi="Century Gothic" w:cs="Century Gothic"/>
          <w:b/>
          <w:sz w:val="22"/>
          <w:szCs w:val="22"/>
        </w:rPr>
        <w:t>dnata</w:t>
      </w:r>
      <w:proofErr w:type="spellEnd"/>
    </w:p>
    <w:p w14:paraId="75D1D8C6" w14:textId="77777777" w:rsidR="00DB4E9F" w:rsidRDefault="00000000">
      <w:pPr>
        <w:spacing w:before="280" w:line="360"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ha aumentado sus beneficios un 330 % en 1400 millones de AED (387 millones de dólares estadounidenses) en 2023-2024, registrando unos resultados sólidos en todas sus divisiones comerciales.</w:t>
      </w:r>
    </w:p>
    <w:p w14:paraId="0E761048"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ingresos totales de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han subido un 29 % para alcanzar un </w:t>
      </w:r>
      <w:proofErr w:type="gramStart"/>
      <w:r>
        <w:rPr>
          <w:rFonts w:ascii="Century Gothic" w:eastAsia="Century Gothic" w:hAnsi="Century Gothic" w:cs="Century Gothic"/>
          <w:sz w:val="22"/>
          <w:szCs w:val="22"/>
        </w:rPr>
        <w:t>nuevo récord</w:t>
      </w:r>
      <w:proofErr w:type="gramEnd"/>
      <w:r>
        <w:rPr>
          <w:rFonts w:ascii="Century Gothic" w:eastAsia="Century Gothic" w:hAnsi="Century Gothic" w:cs="Century Gothic"/>
          <w:sz w:val="22"/>
          <w:szCs w:val="22"/>
        </w:rPr>
        <w:t xml:space="preserve"> de 19.200 millones de AED (5200 millones de dólares estadounidenses), impulsado por una mayor actividad de vuelos y viajes en todo el mundo. Los negocios internacionales de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representan el 75 % de sus ingresos, un aumento de 3 % puntos con respecto al año anterior. A lo largo del año,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ha obtenido nuevos contratos con clientes en todas sus divisiones y ha trabajado en estrecha colaboración con sus clientes para respaldar el aumento de la actividad de vuelos y la demanda de viajes, especialmente en sus principales mercados: Australia, Europa, los Emiratos Árabes Unidos, el Reino Unido y Estados Unidos.</w:t>
      </w:r>
    </w:p>
    <w:p w14:paraId="625B4071"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Sentando las bases para el crecimiento futuro, las inversiones de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en 2023-2024 han ascendido a 464 millones de AED (126 millones de dólares estadounidenses). Las importantes inversiones durante el año incluyen: nuevos equipos de apoyo en tierra eléctricos e híbridos para sus operaciones aeroportuarias como parte de su estrategia ambiental y la expansión de las operaciones de </w:t>
      </w:r>
      <w:proofErr w:type="spellStart"/>
      <w:r>
        <w:rPr>
          <w:rFonts w:ascii="Century Gothic" w:eastAsia="Century Gothic" w:hAnsi="Century Gothic" w:cs="Century Gothic"/>
          <w:sz w:val="22"/>
          <w:szCs w:val="22"/>
        </w:rPr>
        <w:t>marhaba</w:t>
      </w:r>
      <w:proofErr w:type="spellEnd"/>
      <w:r>
        <w:rPr>
          <w:rFonts w:ascii="Century Gothic" w:eastAsia="Century Gothic" w:hAnsi="Century Gothic" w:cs="Century Gothic"/>
          <w:sz w:val="22"/>
          <w:szCs w:val="22"/>
        </w:rPr>
        <w:t xml:space="preserve"> en Filipinas, Italia y los Emiratos Árabes Unidos.</w:t>
      </w:r>
    </w:p>
    <w:p w14:paraId="61C42848"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2023-2024, los costes operativos de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han crecido un 22 % en 17.800 millones de AED (4800 millones de dólares estadounidenses), en línea con la ampliación de las operaciones en sus divisiones de operaciones aeroportuarias, </w:t>
      </w:r>
      <w:r>
        <w:rPr>
          <w:rFonts w:ascii="Century Gothic" w:eastAsia="Century Gothic" w:hAnsi="Century Gothic" w:cs="Century Gothic"/>
          <w:i/>
          <w:sz w:val="22"/>
          <w:szCs w:val="22"/>
        </w:rPr>
        <w:t xml:space="preserve">catering </w:t>
      </w:r>
      <w:r>
        <w:rPr>
          <w:rFonts w:ascii="Century Gothic" w:eastAsia="Century Gothic" w:hAnsi="Century Gothic" w:cs="Century Gothic"/>
          <w:sz w:val="22"/>
          <w:szCs w:val="22"/>
        </w:rPr>
        <w:t>y venta minorista y viajes, así como con la presión inflacionaria continua en todos los mercados, principalmente para empleo y suministro de alimentos.</w:t>
      </w:r>
    </w:p>
    <w:p w14:paraId="3D4A4E50"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saldo de caja de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ha disminuido en 958 millones de AED hasta los 4200 millones de AED (1100 millones de dólares), principalmente debido a los 2000 millones de AED (545 millones de dólares) en pagos de dividendos a su propietario, ICD, más la financiación de inversiones y pagos de deuda. La empresa ha registrado un flujo de caja operativo positivo de 1900 millones de AED (507 millones de dólares estadounidenses) en 2023-2024, un reflejo de las mejoras sustanciales en los ingresos.</w:t>
      </w:r>
    </w:p>
    <w:p w14:paraId="66AB2C13"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ingresos de las operaciones aeroportuarias de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incluida la gestión en tierra y de carga, han aumentado hasta los 8800 millones de AED (2400 millones de dólares estadounidenses).</w:t>
      </w:r>
    </w:p>
    <w:p w14:paraId="4FC6CD03"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número de operaciones de llegadas y salidas gestionadas por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a nivel mundial ha crecido un 9 % hasta 778.026; y la carga manejada ha aumentado un 5 % hasta los 2,9 millones de toneladas, lo que refleja los nuevos contratos ganados y una mayor actividad de vuelos por parte de los clientes aéreos de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en todos los mercados.</w:t>
      </w:r>
    </w:p>
    <w:p w14:paraId="18B3CC73"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Durante 2023-2024,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ha seguido invirtiendo en infraestructura y en las últimas tecnologías para responder a las necesidades de los clientes. Ha integrado drones autónomos en sus operaciones en los Emiratos Árabes Unidos, ha implementado </w:t>
      </w:r>
      <w:r>
        <w:rPr>
          <w:rFonts w:ascii="Century Gothic" w:eastAsia="Century Gothic" w:hAnsi="Century Gothic" w:cs="Century Gothic"/>
          <w:sz w:val="22"/>
          <w:szCs w:val="22"/>
        </w:rPr>
        <w:lastRenderedPageBreak/>
        <w:t xml:space="preserve">soluciones impulsadas por inteligencia artificial en Singapur y ha continuado implementando </w:t>
      </w:r>
      <w:proofErr w:type="spellStart"/>
      <w:r>
        <w:rPr>
          <w:rFonts w:ascii="Century Gothic" w:eastAsia="Century Gothic" w:hAnsi="Century Gothic" w:cs="Century Gothic"/>
          <w:i/>
          <w:sz w:val="22"/>
          <w:szCs w:val="22"/>
        </w:rPr>
        <w:t>One</w:t>
      </w:r>
      <w:proofErr w:type="spellEnd"/>
      <w:r>
        <w:rPr>
          <w:rFonts w:ascii="Century Gothic" w:eastAsia="Century Gothic" w:hAnsi="Century Gothic" w:cs="Century Gothic"/>
          <w:i/>
          <w:sz w:val="22"/>
          <w:szCs w:val="22"/>
        </w:rPr>
        <w:t xml:space="preserve"> Cargo</w:t>
      </w:r>
      <w:r>
        <w:rPr>
          <w:rFonts w:ascii="Century Gothic" w:eastAsia="Century Gothic" w:hAnsi="Century Gothic" w:cs="Century Gothic"/>
          <w:sz w:val="22"/>
          <w:szCs w:val="22"/>
        </w:rPr>
        <w:t xml:space="preserve">, su sistema avanzado de gestión de carga a nivel mundial.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también ha anunciado que ampliará sus operaciones al aeropuerto de Roma Fiumicino, donde su filial de propiedad mayoritaria, </w:t>
      </w:r>
      <w:proofErr w:type="spellStart"/>
      <w:r>
        <w:rPr>
          <w:rFonts w:ascii="Century Gothic" w:eastAsia="Century Gothic" w:hAnsi="Century Gothic" w:cs="Century Gothic"/>
          <w:sz w:val="22"/>
          <w:szCs w:val="22"/>
        </w:rPr>
        <w:t>Airport</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Handling</w:t>
      </w:r>
      <w:proofErr w:type="spellEnd"/>
      <w:r>
        <w:rPr>
          <w:rFonts w:ascii="Century Gothic" w:eastAsia="Century Gothic" w:hAnsi="Century Gothic" w:cs="Century Gothic"/>
          <w:sz w:val="22"/>
          <w:szCs w:val="22"/>
        </w:rPr>
        <w:t xml:space="preserve">, ha obtenido una licencia de asistencia en tierra durante siete años. Para apoyar esta nueva operación,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invertirá 20 millones de euros en equipos terrestres nuevos y avanzados.</w:t>
      </w:r>
    </w:p>
    <w:p w14:paraId="44B721E2"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negocio de </w:t>
      </w:r>
      <w:r>
        <w:rPr>
          <w:rFonts w:ascii="Century Gothic" w:eastAsia="Century Gothic" w:hAnsi="Century Gothic" w:cs="Century Gothic"/>
          <w:i/>
          <w:sz w:val="22"/>
          <w:szCs w:val="22"/>
        </w:rPr>
        <w:t xml:space="preserve">catering </w:t>
      </w:r>
      <w:r>
        <w:rPr>
          <w:rFonts w:ascii="Century Gothic" w:eastAsia="Century Gothic" w:hAnsi="Century Gothic" w:cs="Century Gothic"/>
          <w:sz w:val="22"/>
          <w:szCs w:val="22"/>
        </w:rPr>
        <w:t xml:space="preserve">y venta minorista de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ha representado 6500 millones de AED (1800 millones de dólares estadounidenses) de los ingresos de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un aumento del 35 %. El negocio de </w:t>
      </w:r>
      <w:r>
        <w:rPr>
          <w:rFonts w:ascii="Century Gothic" w:eastAsia="Century Gothic" w:hAnsi="Century Gothic" w:cs="Century Gothic"/>
          <w:i/>
          <w:sz w:val="22"/>
          <w:szCs w:val="22"/>
        </w:rPr>
        <w:t xml:space="preserve">catering </w:t>
      </w:r>
      <w:r>
        <w:rPr>
          <w:rFonts w:ascii="Century Gothic" w:eastAsia="Century Gothic" w:hAnsi="Century Gothic" w:cs="Century Gothic"/>
          <w:sz w:val="22"/>
          <w:szCs w:val="22"/>
        </w:rPr>
        <w:t>a bordo ha preparado 123 millones de comidas a clientes aéreos, un aumento del 10 % con respecto al año pasado, a medida que sus clientes aéreos en todo el mundo han reanudado y ampliado sus operaciones de vuelo.</w:t>
      </w:r>
    </w:p>
    <w:p w14:paraId="409BA73B"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división ha expandido su base de clientes en mercados clave con destacados contratos ganados en 2023-2024, incluidos: Sri </w:t>
      </w:r>
      <w:proofErr w:type="spellStart"/>
      <w:r>
        <w:rPr>
          <w:rFonts w:ascii="Century Gothic" w:eastAsia="Century Gothic" w:hAnsi="Century Gothic" w:cs="Century Gothic"/>
          <w:sz w:val="22"/>
          <w:szCs w:val="22"/>
        </w:rPr>
        <w:t>Lankan</w:t>
      </w:r>
      <w:proofErr w:type="spellEnd"/>
      <w:r>
        <w:rPr>
          <w:rFonts w:ascii="Century Gothic" w:eastAsia="Century Gothic" w:hAnsi="Century Gothic" w:cs="Century Gothic"/>
          <w:sz w:val="22"/>
          <w:szCs w:val="22"/>
        </w:rPr>
        <w:t xml:space="preserve"> Airlines y </w:t>
      </w:r>
      <w:proofErr w:type="spellStart"/>
      <w:r>
        <w:rPr>
          <w:rFonts w:ascii="Century Gothic" w:eastAsia="Century Gothic" w:hAnsi="Century Gothic" w:cs="Century Gothic"/>
          <w:sz w:val="22"/>
          <w:szCs w:val="22"/>
        </w:rPr>
        <w:t>Turkish</w:t>
      </w:r>
      <w:proofErr w:type="spellEnd"/>
      <w:r>
        <w:rPr>
          <w:rFonts w:ascii="Century Gothic" w:eastAsia="Century Gothic" w:hAnsi="Century Gothic" w:cs="Century Gothic"/>
          <w:sz w:val="22"/>
          <w:szCs w:val="22"/>
        </w:rPr>
        <w:t xml:space="preserve"> Airlines en Australia (Sídney y Melbourne), China Airlines en la República Checa (Praga), JetBlue en Irlanda (Dublín), </w:t>
      </w:r>
      <w:proofErr w:type="spellStart"/>
      <w:r>
        <w:rPr>
          <w:rFonts w:ascii="Century Gothic" w:eastAsia="Century Gothic" w:hAnsi="Century Gothic" w:cs="Century Gothic"/>
          <w:sz w:val="22"/>
          <w:szCs w:val="22"/>
        </w:rPr>
        <w:t>Biman</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Bangladeshi</w:t>
      </w:r>
      <w:proofErr w:type="spellEnd"/>
      <w:r>
        <w:rPr>
          <w:rFonts w:ascii="Century Gothic" w:eastAsia="Century Gothic" w:hAnsi="Century Gothic" w:cs="Century Gothic"/>
          <w:sz w:val="22"/>
          <w:szCs w:val="22"/>
        </w:rPr>
        <w:t xml:space="preserve"> Airlines en Italia (Roma Fiumicino), Royal </w:t>
      </w:r>
      <w:proofErr w:type="spellStart"/>
      <w:r>
        <w:rPr>
          <w:rFonts w:ascii="Century Gothic" w:eastAsia="Century Gothic" w:hAnsi="Century Gothic" w:cs="Century Gothic"/>
          <w:sz w:val="22"/>
          <w:szCs w:val="22"/>
        </w:rPr>
        <w:t>Jordanian</w:t>
      </w:r>
      <w:proofErr w:type="spellEnd"/>
      <w:r>
        <w:rPr>
          <w:rFonts w:ascii="Century Gothic" w:eastAsia="Century Gothic" w:hAnsi="Century Gothic" w:cs="Century Gothic"/>
          <w:sz w:val="22"/>
          <w:szCs w:val="22"/>
        </w:rPr>
        <w:t xml:space="preserve"> en el Reino Unido (Londres </w:t>
      </w:r>
      <w:proofErr w:type="spellStart"/>
      <w:r>
        <w:rPr>
          <w:rFonts w:ascii="Century Gothic" w:eastAsia="Century Gothic" w:hAnsi="Century Gothic" w:cs="Century Gothic"/>
          <w:sz w:val="22"/>
          <w:szCs w:val="22"/>
        </w:rPr>
        <w:t>Stansted</w:t>
      </w:r>
      <w:proofErr w:type="spellEnd"/>
      <w:r>
        <w:rPr>
          <w:rFonts w:ascii="Century Gothic" w:eastAsia="Century Gothic" w:hAnsi="Century Gothic" w:cs="Century Gothic"/>
          <w:sz w:val="22"/>
          <w:szCs w:val="22"/>
        </w:rPr>
        <w:t xml:space="preserve">) y </w:t>
      </w:r>
      <w:proofErr w:type="spellStart"/>
      <w:r>
        <w:rPr>
          <w:rFonts w:ascii="Century Gothic" w:eastAsia="Century Gothic" w:hAnsi="Century Gothic" w:cs="Century Gothic"/>
          <w:sz w:val="22"/>
          <w:szCs w:val="22"/>
        </w:rPr>
        <w:t>Etihad</w:t>
      </w:r>
      <w:proofErr w:type="spellEnd"/>
      <w:r>
        <w:rPr>
          <w:rFonts w:ascii="Century Gothic" w:eastAsia="Century Gothic" w:hAnsi="Century Gothic" w:cs="Century Gothic"/>
          <w:sz w:val="22"/>
          <w:szCs w:val="22"/>
        </w:rPr>
        <w:t xml:space="preserve"> Airways en Estados Unidos (Boston). También ha ampliado su red minorista en el aeropuerto con nuevos establecimientos de alimentos y bebidas en el aeropuerto internacional Henri </w:t>
      </w:r>
      <w:proofErr w:type="spellStart"/>
      <w:r>
        <w:rPr>
          <w:rFonts w:ascii="Century Gothic" w:eastAsia="Century Gothic" w:hAnsi="Century Gothic" w:cs="Century Gothic"/>
          <w:sz w:val="22"/>
          <w:szCs w:val="22"/>
        </w:rPr>
        <w:t>Coandă</w:t>
      </w:r>
      <w:proofErr w:type="spellEnd"/>
      <w:r>
        <w:rPr>
          <w:rFonts w:ascii="Century Gothic" w:eastAsia="Century Gothic" w:hAnsi="Century Gothic" w:cs="Century Gothic"/>
          <w:sz w:val="22"/>
          <w:szCs w:val="22"/>
        </w:rPr>
        <w:t xml:space="preserve"> de Bucarest y en el aeropuerto de </w:t>
      </w:r>
      <w:proofErr w:type="spellStart"/>
      <w:r>
        <w:rPr>
          <w:rFonts w:ascii="Century Gothic" w:eastAsia="Century Gothic" w:hAnsi="Century Gothic" w:cs="Century Gothic"/>
          <w:sz w:val="22"/>
          <w:szCs w:val="22"/>
        </w:rPr>
        <w:t>Sharjah</w:t>
      </w:r>
      <w:proofErr w:type="spellEnd"/>
      <w:r>
        <w:rPr>
          <w:rFonts w:ascii="Century Gothic" w:eastAsia="Century Gothic" w:hAnsi="Century Gothic" w:cs="Century Gothic"/>
          <w:sz w:val="22"/>
          <w:szCs w:val="22"/>
        </w:rPr>
        <w:t xml:space="preserve"> en los Emiratos Árabes Unidos.</w:t>
      </w:r>
    </w:p>
    <w:p w14:paraId="2E6B4AE4"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ingresos de la división de servicios de viajes de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han crecido un 48 %, hasta alcanzar los 3500 millones de AED (951 millones de dólares), con una importante contribución de </w:t>
      </w:r>
      <w:proofErr w:type="spellStart"/>
      <w:r>
        <w:rPr>
          <w:rFonts w:ascii="Century Gothic" w:eastAsia="Century Gothic" w:hAnsi="Century Gothic" w:cs="Century Gothic"/>
          <w:i/>
          <w:sz w:val="22"/>
          <w:szCs w:val="22"/>
        </w:rPr>
        <w:t>Destination</w:t>
      </w:r>
      <w:proofErr w:type="spellEnd"/>
      <w:r>
        <w:rPr>
          <w:rFonts w:ascii="Century Gothic" w:eastAsia="Century Gothic" w:hAnsi="Century Gothic" w:cs="Century Gothic"/>
          <w:i/>
          <w:sz w:val="22"/>
          <w:szCs w:val="22"/>
        </w:rPr>
        <w:t xml:space="preserve"> Asia</w:t>
      </w:r>
      <w:r>
        <w:rPr>
          <w:rFonts w:ascii="Century Gothic" w:eastAsia="Century Gothic" w:hAnsi="Century Gothic" w:cs="Century Gothic"/>
          <w:sz w:val="22"/>
          <w:szCs w:val="22"/>
        </w:rPr>
        <w:t xml:space="preserve">, su negocio de gestión de destinos en Asia, y de </w:t>
      </w:r>
      <w:r>
        <w:rPr>
          <w:rFonts w:ascii="Century Gothic" w:eastAsia="Century Gothic" w:hAnsi="Century Gothic" w:cs="Century Gothic"/>
          <w:i/>
          <w:sz w:val="22"/>
          <w:szCs w:val="22"/>
        </w:rPr>
        <w:t>Imagine Cruising</w:t>
      </w:r>
      <w:r>
        <w:rPr>
          <w:rFonts w:ascii="Century Gothic" w:eastAsia="Century Gothic" w:hAnsi="Century Gothic" w:cs="Century Gothic"/>
          <w:sz w:val="22"/>
          <w:szCs w:val="22"/>
        </w:rPr>
        <w:t xml:space="preserve">, un negocio de vacaciones en crucero en el que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ha adquirido una participación mayoritaria. El valor total de las transacciones (TTV) de los servicios de viajes vendidos se ha incrementado un 27 %, hasta los 8900 millones de AED (2400 millones de dólares estadounidenses), lo que refleja la capacidad de la división por ofrecer productos que satisfagan la fuerte demanda en los segmentos de viajes B2B y B2C a escala mundial. </w:t>
      </w:r>
    </w:p>
    <w:p w14:paraId="6524D91A" w14:textId="77777777" w:rsidR="00DB4E9F"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En 2023-2024, la división de viajes de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ha firmado acuerdos con nuevas entidades turísticas, marcas hoteleras y otros socios para ampliar su cartera de productos, servicios y soluciones de viajes. Esto incluye una asociación estratégica con AMEX GBT que ha duplicado el tamaño de su negocio de viajes corporativos en Medio Oriente.</w:t>
      </w:r>
    </w:p>
    <w:p w14:paraId="0C1019A2" w14:textId="144E5BB7" w:rsidR="00F818A2"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Informe Anual completo 2023-2024 de Emirates </w:t>
      </w:r>
      <w:proofErr w:type="spellStart"/>
      <w:r>
        <w:rPr>
          <w:rFonts w:ascii="Century Gothic" w:eastAsia="Century Gothic" w:hAnsi="Century Gothic" w:cs="Century Gothic"/>
          <w:sz w:val="22"/>
          <w:szCs w:val="22"/>
        </w:rPr>
        <w:t>Group</w:t>
      </w:r>
      <w:proofErr w:type="spellEnd"/>
      <w:r>
        <w:rPr>
          <w:rFonts w:ascii="Century Gothic" w:eastAsia="Century Gothic" w:hAnsi="Century Gothic" w:cs="Century Gothic"/>
          <w:sz w:val="22"/>
          <w:szCs w:val="22"/>
        </w:rPr>
        <w:t xml:space="preserve">, que comprende Emirates,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y sus subsidiarias, se encuentra disponible </w:t>
      </w:r>
      <w:hyperlink r:id="rId9">
        <w:r>
          <w:rPr>
            <w:rFonts w:ascii="Century Gothic" w:eastAsia="Century Gothic" w:hAnsi="Century Gothic" w:cs="Century Gothic"/>
            <w:color w:val="1155CC"/>
            <w:sz w:val="22"/>
            <w:szCs w:val="22"/>
            <w:u w:val="single"/>
          </w:rPr>
          <w:t>aquí</w:t>
        </w:r>
      </w:hyperlink>
      <w:r>
        <w:rPr>
          <w:rFonts w:ascii="Century Gothic" w:eastAsia="Century Gothic" w:hAnsi="Century Gothic" w:cs="Century Gothic"/>
          <w:sz w:val="22"/>
          <w:szCs w:val="22"/>
        </w:rPr>
        <w:t xml:space="preserve">. </w:t>
      </w:r>
      <w:proofErr w:type="spellStart"/>
      <w:r w:rsidR="00F818A2" w:rsidRPr="00F818A2">
        <w:rPr>
          <w:rFonts w:ascii="Century Gothic" w:eastAsia="Century Gothic" w:hAnsi="Century Gothic" w:cs="Century Gothic"/>
          <w:i/>
          <w:iCs/>
          <w:sz w:val="22"/>
          <w:szCs w:val="22"/>
        </w:rPr>
        <w:t>Fast</w:t>
      </w:r>
      <w:proofErr w:type="spellEnd"/>
      <w:r w:rsidR="00F818A2" w:rsidRPr="00F818A2">
        <w:rPr>
          <w:rFonts w:ascii="Century Gothic" w:eastAsia="Century Gothic" w:hAnsi="Century Gothic" w:cs="Century Gothic"/>
          <w:i/>
          <w:iCs/>
          <w:sz w:val="22"/>
          <w:szCs w:val="22"/>
        </w:rPr>
        <w:t xml:space="preserve"> </w:t>
      </w:r>
      <w:proofErr w:type="spellStart"/>
      <w:r w:rsidR="00F818A2" w:rsidRPr="00F818A2">
        <w:rPr>
          <w:rFonts w:ascii="Century Gothic" w:eastAsia="Century Gothic" w:hAnsi="Century Gothic" w:cs="Century Gothic"/>
          <w:i/>
          <w:iCs/>
          <w:sz w:val="22"/>
          <w:szCs w:val="22"/>
        </w:rPr>
        <w:t>facts</w:t>
      </w:r>
      <w:proofErr w:type="spellEnd"/>
      <w:r w:rsidR="00F818A2">
        <w:rPr>
          <w:rFonts w:ascii="Century Gothic" w:eastAsia="Century Gothic" w:hAnsi="Century Gothic" w:cs="Century Gothic"/>
          <w:sz w:val="22"/>
          <w:szCs w:val="22"/>
        </w:rPr>
        <w:t xml:space="preserve"> para los medios </w:t>
      </w:r>
      <w:hyperlink r:id="rId10" w:history="1">
        <w:r w:rsidR="00F818A2" w:rsidRPr="00F818A2">
          <w:rPr>
            <w:rStyle w:val="Hipervnculo"/>
            <w:rFonts w:ascii="Century Gothic" w:eastAsia="Century Gothic" w:hAnsi="Century Gothic" w:cs="Century Gothic"/>
            <w:sz w:val="22"/>
            <w:szCs w:val="22"/>
          </w:rPr>
          <w:t>aquí</w:t>
        </w:r>
      </w:hyperlink>
      <w:r w:rsidR="00F818A2">
        <w:rPr>
          <w:rFonts w:ascii="Century Gothic" w:eastAsia="Century Gothic" w:hAnsi="Century Gothic" w:cs="Century Gothic"/>
          <w:sz w:val="22"/>
          <w:szCs w:val="22"/>
        </w:rPr>
        <w:t xml:space="preserve">. </w:t>
      </w:r>
    </w:p>
    <w:p w14:paraId="76E609EC" w14:textId="77777777" w:rsidR="00DB4E9F" w:rsidRDefault="00000000">
      <w:pPr>
        <w:spacing w:before="280" w:line="360" w:lineRule="auto"/>
        <w:jc w:val="both"/>
        <w:rPr>
          <w:rFonts w:ascii="Century Gothic" w:eastAsia="Century Gothic" w:hAnsi="Century Gothic" w:cs="Century Gothic"/>
          <w:i/>
          <w:sz w:val="20"/>
          <w:szCs w:val="20"/>
        </w:rPr>
      </w:pPr>
      <w:r>
        <w:rPr>
          <w:rFonts w:ascii="Century Gothic" w:eastAsia="Century Gothic" w:hAnsi="Century Gothic" w:cs="Century Gothic"/>
          <w:i/>
          <w:sz w:val="20"/>
          <w:szCs w:val="20"/>
        </w:rPr>
        <w:t>Nota: las cifras en dólares estadounidenses se convierten a 1 dólar estadounidense = 3,67 AED y se basan en las cifras de AED redondeadas en millones.</w:t>
      </w:r>
    </w:p>
    <w:p w14:paraId="7217A03D" w14:textId="77777777" w:rsidR="00DB4E9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de Emirates</w:t>
      </w:r>
    </w:p>
    <w:p w14:paraId="0F6B2798" w14:textId="77777777" w:rsidR="00DB4E9F"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Emirates, la mayor aerolínea internacional de pasajeros, opera en España desde 2010. La compañía conecta a los viajeros españoles a través de su </w:t>
      </w:r>
      <w:proofErr w:type="spellStart"/>
      <w:proofErr w:type="gramStart"/>
      <w:r>
        <w:rPr>
          <w:rFonts w:ascii="Century Gothic" w:eastAsia="Century Gothic" w:hAnsi="Century Gothic" w:cs="Century Gothic"/>
          <w:sz w:val="18"/>
          <w:szCs w:val="18"/>
        </w:rPr>
        <w:t>hub</w:t>
      </w:r>
      <w:proofErr w:type="spellEnd"/>
      <w:proofErr w:type="gramEnd"/>
      <w:r>
        <w:rPr>
          <w:rFonts w:ascii="Century Gothic" w:eastAsia="Century Gothic" w:hAnsi="Century Gothic" w:cs="Century Gothic"/>
          <w:sz w:val="18"/>
          <w:szCs w:val="18"/>
        </w:rPr>
        <w:t xml:space="preserve"> global en Dubái con más de 130 destinos en todo el mundo. Emirates une Dubái con Madrid y Barcelona, así como también Ciudad de México vía Barcelona. Emirates ha conseguido el reconocimiento a la "Mejor Primera Clase del Mundo" en los premios Tripadvisor </w:t>
      </w:r>
      <w:proofErr w:type="spellStart"/>
      <w:r>
        <w:rPr>
          <w:rFonts w:ascii="Century Gothic" w:eastAsia="Century Gothic" w:hAnsi="Century Gothic" w:cs="Century Gothic"/>
          <w:sz w:val="18"/>
          <w:szCs w:val="18"/>
        </w:rPr>
        <w:t>Travelers</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Choice</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Awards</w:t>
      </w:r>
      <w:proofErr w:type="spellEnd"/>
      <w:r>
        <w:rPr>
          <w:rFonts w:ascii="Century Gothic" w:eastAsia="Century Gothic" w:hAnsi="Century Gothic" w:cs="Century Gothic"/>
          <w:sz w:val="18"/>
          <w:szCs w:val="18"/>
        </w:rPr>
        <w:t xml:space="preserve"> para aerolíneas en 2020; los galardones al "Mejor </w:t>
      </w:r>
      <w:proofErr w:type="spellStart"/>
      <w:r>
        <w:rPr>
          <w:rFonts w:ascii="Century Gothic" w:eastAsia="Century Gothic" w:hAnsi="Century Gothic" w:cs="Century Gothic"/>
          <w:sz w:val="18"/>
          <w:szCs w:val="18"/>
        </w:rPr>
        <w:t>Wi</w:t>
      </w:r>
      <w:proofErr w:type="spellEnd"/>
      <w:r>
        <w:rPr>
          <w:rFonts w:ascii="Century Gothic" w:eastAsia="Century Gothic" w:hAnsi="Century Gothic" w:cs="Century Gothic"/>
          <w:sz w:val="18"/>
          <w:szCs w:val="18"/>
        </w:rPr>
        <w:t xml:space="preserve">-Fi y Mejor Comida y Bebida" en Oriente Medio en los APEX Regional Passenger </w:t>
      </w:r>
      <w:proofErr w:type="spellStart"/>
      <w:r>
        <w:rPr>
          <w:rFonts w:ascii="Century Gothic" w:eastAsia="Century Gothic" w:hAnsi="Century Gothic" w:cs="Century Gothic"/>
          <w:sz w:val="18"/>
          <w:szCs w:val="18"/>
        </w:rPr>
        <w:t>Choice</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Awards</w:t>
      </w:r>
      <w:proofErr w:type="spellEnd"/>
      <w:r>
        <w:rPr>
          <w:rFonts w:ascii="Century Gothic" w:eastAsia="Century Gothic" w:hAnsi="Century Gothic" w:cs="Century Gothic"/>
          <w:sz w:val="18"/>
          <w:szCs w:val="18"/>
        </w:rPr>
        <w:t xml:space="preserve">® 2022; "Mejor Entretenimiento a </w:t>
      </w:r>
      <w:proofErr w:type="spellStart"/>
      <w:r>
        <w:rPr>
          <w:rFonts w:ascii="Century Gothic" w:eastAsia="Century Gothic" w:hAnsi="Century Gothic" w:cs="Century Gothic"/>
          <w:sz w:val="18"/>
          <w:szCs w:val="18"/>
        </w:rPr>
        <w:t>Bordo"en</w:t>
      </w:r>
      <w:proofErr w:type="spellEnd"/>
      <w:r>
        <w:rPr>
          <w:rFonts w:ascii="Century Gothic" w:eastAsia="Century Gothic" w:hAnsi="Century Gothic" w:cs="Century Gothic"/>
          <w:sz w:val="18"/>
          <w:szCs w:val="18"/>
        </w:rPr>
        <w:t xml:space="preserve"> los premios Business </w:t>
      </w:r>
      <w:proofErr w:type="spellStart"/>
      <w:r>
        <w:rPr>
          <w:rFonts w:ascii="Century Gothic" w:eastAsia="Century Gothic" w:hAnsi="Century Gothic" w:cs="Century Gothic"/>
          <w:sz w:val="18"/>
          <w:szCs w:val="18"/>
        </w:rPr>
        <w:t>Traveller</w:t>
      </w:r>
      <w:proofErr w:type="spellEnd"/>
      <w:r>
        <w:rPr>
          <w:rFonts w:ascii="Century Gothic" w:eastAsia="Century Gothic" w:hAnsi="Century Gothic" w:cs="Century Gothic"/>
          <w:sz w:val="18"/>
          <w:szCs w:val="18"/>
        </w:rPr>
        <w:t xml:space="preserve"> de 2020; y "Mejor Aerolínea del Mundo en Entretenimiento a Bordo" en los premios </w:t>
      </w:r>
      <w:proofErr w:type="spellStart"/>
      <w:r>
        <w:rPr>
          <w:rFonts w:ascii="Century Gothic" w:eastAsia="Century Gothic" w:hAnsi="Century Gothic" w:cs="Century Gothic"/>
          <w:sz w:val="18"/>
          <w:szCs w:val="18"/>
        </w:rPr>
        <w:t>SkyTrax</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World</w:t>
      </w:r>
      <w:proofErr w:type="spellEnd"/>
      <w:r>
        <w:rPr>
          <w:rFonts w:ascii="Century Gothic" w:eastAsia="Century Gothic" w:hAnsi="Century Gothic" w:cs="Century Gothic"/>
          <w:sz w:val="18"/>
          <w:szCs w:val="18"/>
        </w:rPr>
        <w:t xml:space="preserve"> Airlines de 2022.</w:t>
      </w:r>
    </w:p>
    <w:sectPr w:rsidR="00DB4E9F">
      <w:headerReference w:type="default" r:id="rId11"/>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2EB01" w14:textId="77777777" w:rsidR="00A03453" w:rsidRDefault="00A03453">
      <w:r>
        <w:separator/>
      </w:r>
    </w:p>
  </w:endnote>
  <w:endnote w:type="continuationSeparator" w:id="0">
    <w:p w14:paraId="2D13A41B" w14:textId="77777777" w:rsidR="00A03453" w:rsidRDefault="00A03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1" w:fontKey="{4182E40F-B8D9-4727-9FE0-4B8A3B2342E3}"/>
    <w:embedItalic r:id="rId2" w:fontKey="{AF679D94-261D-4C35-A631-7F15736A8A2C}"/>
  </w:font>
  <w:font w:name="Calibri">
    <w:panose1 w:val="020F0502020204030204"/>
    <w:charset w:val="00"/>
    <w:family w:val="swiss"/>
    <w:pitch w:val="variable"/>
    <w:sig w:usb0="E4002EFF" w:usb1="C200247B" w:usb2="00000009" w:usb3="00000000" w:csb0="000001FF" w:csb1="00000000"/>
    <w:embedRegular r:id="rId3" w:fontKey="{F0B0FB3F-4FED-41BA-8102-D01A3DD18860}"/>
  </w:font>
  <w:font w:name="Cambria">
    <w:panose1 w:val="02040503050406030204"/>
    <w:charset w:val="00"/>
    <w:family w:val="roman"/>
    <w:pitch w:val="variable"/>
    <w:sig w:usb0="E00006FF" w:usb1="420024FF" w:usb2="02000000" w:usb3="00000000" w:csb0="0000019F" w:csb1="00000000"/>
    <w:embedRegular r:id="rId4" w:fontKey="{EABD3A0A-37BE-4436-8291-86C67B9A06FB}"/>
  </w:font>
  <w:font w:name="Century Gothic">
    <w:panose1 w:val="020B0502020202020204"/>
    <w:charset w:val="00"/>
    <w:family w:val="swiss"/>
    <w:pitch w:val="variable"/>
    <w:sig w:usb0="00000287" w:usb1="00000000" w:usb2="00000000" w:usb3="00000000" w:csb0="0000009F" w:csb1="00000000"/>
    <w:embedRegular r:id="rId5" w:fontKey="{1B9CD11F-2E10-4339-BC56-6C747578DA02}"/>
    <w:embedBold r:id="rId6" w:fontKey="{5A90D34F-BC4E-4824-88E4-C506252C5B08}"/>
    <w:embedItalic r:id="rId7" w:fontKey="{94AFD758-D554-4DB6-B9DC-66CBE8B0D10C}"/>
    <w:embedBoldItalic r:id="rId8" w:fontKey="{43B480E6-5A9C-4A4F-B5F2-699A728331C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84F43" w14:textId="77777777" w:rsidR="00A03453" w:rsidRDefault="00A03453">
      <w:r>
        <w:separator/>
      </w:r>
    </w:p>
  </w:footnote>
  <w:footnote w:type="continuationSeparator" w:id="0">
    <w:p w14:paraId="57A6B166" w14:textId="77777777" w:rsidR="00A03453" w:rsidRDefault="00A03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D8680" w14:textId="77777777" w:rsidR="00DB4E9F"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65B6D262" wp14:editId="31B1D6AA">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7A8DD9B4" w14:textId="77777777" w:rsidR="00DB4E9F" w:rsidRDefault="00DB4E9F">
    <w:pPr>
      <w:pBdr>
        <w:top w:val="nil"/>
        <w:left w:val="nil"/>
        <w:bottom w:val="nil"/>
        <w:right w:val="nil"/>
        <w:between w:val="nil"/>
      </w:pBdr>
      <w:tabs>
        <w:tab w:val="right" w:pos="8478"/>
      </w:tabs>
      <w:spacing w:after="200"/>
      <w:rPr>
        <w:rFonts w:ascii="Cambria" w:eastAsia="Cambria" w:hAnsi="Cambria" w:cs="Cambria"/>
        <w:color w:val="000000"/>
      </w:rPr>
    </w:pPr>
  </w:p>
  <w:p w14:paraId="2EE5BC50" w14:textId="77777777" w:rsidR="00DB4E9F" w:rsidRDefault="00DB4E9F">
    <w:pPr>
      <w:pBdr>
        <w:top w:val="nil"/>
        <w:left w:val="nil"/>
        <w:bottom w:val="nil"/>
        <w:right w:val="nil"/>
        <w:between w:val="nil"/>
      </w:pBdr>
      <w:tabs>
        <w:tab w:val="right" w:pos="8478"/>
      </w:tabs>
      <w:spacing w:after="200"/>
      <w:rPr>
        <w:rFonts w:ascii="Cambria" w:eastAsia="Cambria" w:hAnsi="Cambria" w:cs="Cambria"/>
        <w:color w:val="000000"/>
      </w:rPr>
    </w:pPr>
  </w:p>
  <w:p w14:paraId="3E760E85" w14:textId="77777777" w:rsidR="00DB4E9F" w:rsidRDefault="00DB4E9F">
    <w:pPr>
      <w:pBdr>
        <w:top w:val="nil"/>
        <w:left w:val="nil"/>
        <w:bottom w:val="nil"/>
        <w:right w:val="nil"/>
        <w:between w:val="nil"/>
      </w:pBdr>
      <w:tabs>
        <w:tab w:val="right" w:pos="8478"/>
      </w:tabs>
      <w:spacing w:after="200"/>
      <w:rPr>
        <w:rFonts w:ascii="Cambria" w:eastAsia="Cambria" w:hAnsi="Cambria" w:cs="Cambria"/>
        <w:color w:val="000000"/>
      </w:rPr>
    </w:pPr>
  </w:p>
  <w:p w14:paraId="5217ECC4" w14:textId="77777777" w:rsidR="00DB4E9F" w:rsidRDefault="00DB4E9F">
    <w:pPr>
      <w:pBdr>
        <w:top w:val="nil"/>
        <w:left w:val="nil"/>
        <w:bottom w:val="nil"/>
        <w:right w:val="nil"/>
        <w:between w:val="nil"/>
      </w:pBdr>
      <w:tabs>
        <w:tab w:val="right" w:pos="8478"/>
      </w:tabs>
      <w:spacing w:after="200"/>
      <w:rPr>
        <w:rFonts w:ascii="Cambria" w:eastAsia="Cambria" w:hAnsi="Cambria" w:cs="Cambria"/>
        <w:color w:val="000000"/>
      </w:rPr>
    </w:pPr>
  </w:p>
  <w:p w14:paraId="7AE2FCFB" w14:textId="77777777" w:rsidR="00DB4E9F" w:rsidRDefault="00DB4E9F">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9F"/>
    <w:rsid w:val="0039132A"/>
    <w:rsid w:val="00A03453"/>
    <w:rsid w:val="00DB4E9F"/>
    <w:rsid w:val="00F81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C6E6"/>
  <w15:docId w15:val="{8170FDF2-9924-49D6-A720-99EF664EC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c.ekstatic.net/ecl/documents/annual-report/2023-2024.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ensa@serga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mirates.com/media-centre/download/0cf04313-300f-4688-aae9-00a78abea79f/mediafastfacts23-24.pdf" TargetMode="External"/><Relationship Id="rId4" Type="http://schemas.openxmlformats.org/officeDocument/2006/relationships/webSettings" Target="webSettings.xml"/><Relationship Id="rId9" Type="http://schemas.openxmlformats.org/officeDocument/2006/relationships/hyperlink" Target="http://www.theemiratesgroup.com/annualrepor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LoP3+9w2sZprJVQ3Zj0yqYMQ9w==">CgMxLjAikAIKC0FBQUJORm1vMFJNEtoBCgtBQUFCTkZtbzBSTRILQUFBQk5GbW8wUk0aDQoJdGV4dC9odG1sEgAiDgoKdGV4dC9wbGFpbhIAKhsiFTExMjkwNzU5NTUwMzkxMDkxNjQ0OCgAOAAwlZyvh/cxOJWcr4f3MUo6CiRhcHBsaWNhdGlvbi92bmQuZ29vZ2xlLWFwcHMuZG9jcy5tZHMaEsLX2uQBDBoKCgYKABATGAAQAVoMeHo2a3NhdXpkOWU4cgIgAHgAggEUc3VnZ2VzdC5hZG5pYm52djhpOTGaAQYIABAAGACwAQC4AQAYlZyvh/cxIJWcr4f3MTAAQhRzdWdnZXN0LmFkbmlibnZ2OGk5MSKyAgoLQUFBQk5GbW8wUzAS/AEKC0FBQUJORm1vMFMwEgtBQUFCTkZtbzBTMBoNCgl0ZXh0L2h0bWwSACIOCgp0ZXh0L3BsYWluEgAqGyIVMTEyOTA3NTk1NTAzOTEwOTE2NDQ4KAA4ADCd+PGH9zE4l/3xh/cxSlwKJGFwcGxpY2F0aW9uL3ZuZC5nb29nbGUtYXBwcy5kb2NzLm1kcxo0wtfa5AEuEhUKEQoLZXN0w6FuZGFyZXMQARgAEAEaFQoRCgtlc3TDoW5kYXJlcxABGAAQAVoMZ2ZsajliYjdqY2phcgIgAHgAggEUc3VnZ2VzdC5xNm9kYnRrbGo5cGKaAQYIABAAGACwAQC4AQAYnfjxh/cxIJf98Yf3MTAAQhRzdWdnZXN0LnE2b2RidGtsajlwYjgAaiIKFHN1Z2dlc3QuYWRuaWJudnY4aTkxEgpBbmEgTGxvdmV0aiIKFHN1Z2dlc3QucTZvZGJ0a2xqOXBiEgpBbmEgTGxvdmV0aiIKFHN1Z2dlc3QuajhlYTNrcWhhbG96EgpBbmEgTGxvdmV0aiIKFHN1Z2dlc3QudTFrYWRicmI1cXY0EgpBbmEgTGxvdmV0aiIKFHN1Z2dlc3QubTRwMWt6NThpbGVvEgpBbmEgTGxvdmV0aiIKFHN1Z2dlc3QuNWpmcGxkODFwNjhtEgpBbmEgTGxvdmV0aiIKFHN1Z2dlc3QuN2t5bnNub2R4OGFmEgpBbmEgTGxvdmV0aiIKFHN1Z2dlc3QuZngwNHJuYXBzdWc5EgpBbmEgTGxvdmV0aiIKFHN1Z2dlc3QueHlyOThqNnlzMHZuEgpBbmEgTGxvdmV0aiIKFHN1Z2dlc3QucGdyNGxjeWxsZG9pEgpBbmEgTGxvdmV0aiIKFHN1Z2dlc3QudTdxcDhxemRoMm9tEgpBbmEgTGxvdmV0aiIKFHN1Z2dlc3Qud2l6ZWoxanZjYTVjEgpBbmEgTGxvdmV0aiIKFHN1Z2dlc3QuZ3dkMG5hODJqZXI5EgpBbmEgTGxvdmV0aiIKFHN1Z2dlc3QucjltcnlkanZidDRlEgpBbmEgTGxvdmV0aiIKFHN1Z2dlc3QubGo0cTJvZ3kxMTFtEgpBbmEgTGxvdmV0aiIKFHN1Z2dlc3QucXlvZ3d6Mjdzcm5nEgpBbmEgTGxvdmV0aiIKFHN1Z2dlc3QuZjdpd2lwbGxwMmN5EgpBbmEgTGxvdmV0aiIKFHN1Z2dlc3QuaGs0YWI2OHBtbW5xEgpBbmEgTGxvdmV0aiIKFHN1Z2dlc3QuZGxwb2h3cWs2dXo1EgpBbmEgTGxvdmV0aiIKFHN1Z2dlc3QuZ2J4ZjVvdXR6a2FzEgpBbmEgTGxvdmV0aiIKFHN1Z2dlc3QucnpreGlvM216emJuEgpBbmEgTGxvdmV0aiIKFHN1Z2dlc3QubTdydHYwbWk0b3gzEgpBbmEgTGxvdmV0aiIKFHN1Z2dlc3QuNjY4emF1b215d29rEgpBbmEgTGxvdmV0aiIKFHN1Z2dlc3Qub3Zzb3lsc3dtdHFpEgpBbmEgTGxvdmV0aiIKFHN1Z2dlc3QubDNkbjIwZGpybnBvEgpBbmEgTGxvdmV0aiIKFHN1Z2dlc3QuOXdrOHRvcHljczB2EgpBbmEgTGxvdmV0aiIKFHN1Z2dlc3QubnNnM285N2pmeXBlEgpBbmEgTGxvdmV0aiIKFHN1Z2dlc3QueXg0ZjBkNDlteG80EgpBbmEgTGxvdmV0aiEKE3N1Z2dlc3Qud2lxZmR6ZTV4aWUSCkFuYSBMbG92ZXRqIgoUc3VnZ2VzdC5tZXlvaGt2eGFob3cSCkFuYSBMbG92ZXRqIgoUc3VnZ2VzdC5iMHJveGo3dnA0OWoSCkFuYSBMbG92ZXRqIgoUc3VnZ2VzdC40czQzMHZlcm9tbXASCkFuYSBMbG92ZXRqIgoUc3VnZ2VzdC55NXhubWJvMnM1NmMSCkFuYSBMbG92ZXRqIgoUc3VnZ2VzdC5ibW9ibnFid2hiNTgSCkFuYSBMbG92ZXRqIgoUc3VnZ2VzdC5qcTcxdTduN2lhNWwSCkFuYSBMbG92ZXRqIQoTc3VnZ2VzdC43N2p5cG01aDBtbxIKQW5hIExsb3ZldGoiChRzdWdnZXN0Ljg3MTg3NWhmNDJpdBIKQW5hIExsb3ZldGoiChRzdWdnZXN0LnZ6aHExNHY1eDE3NRIKQW5hIExsb3ZldHIhMUxCbEczRHd3MUtVbmRSY01BRmdFbXlpS2lJenM2Sm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4348</Words>
  <Characters>23917</Characters>
  <Application>Microsoft Office Word</Application>
  <DocSecurity>0</DocSecurity>
  <Lines>199</Lines>
  <Paragraphs>56</Paragraphs>
  <ScaleCrop>false</ScaleCrop>
  <Company/>
  <LinksUpToDate>false</LinksUpToDate>
  <CharactersWithSpaces>28209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Elisenda Barreda</cp:lastModifiedBy>
  <cp:revision>2</cp:revision>
  <dcterms:created xsi:type="dcterms:W3CDTF">2024-05-08T07:36:00Z</dcterms:created>
  <dcterms:modified xsi:type="dcterms:W3CDTF">2024-05-13T08:44:00Z</dcterms:modified>
</cp:coreProperties>
</file>