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AD21A" w14:textId="77777777" w:rsidR="00324405" w:rsidRDefault="00000000">
      <w:pPr>
        <w:pBdr>
          <w:top w:val="nil"/>
          <w:left w:val="nil"/>
          <w:bottom w:val="nil"/>
          <w:right w:val="nil"/>
          <w:between w:val="nil"/>
        </w:pBdr>
        <w:tabs>
          <w:tab w:val="left" w:pos="2478"/>
        </w:tabs>
        <w:spacing w:after="0" w:line="276" w:lineRule="auto"/>
        <w:jc w:val="center"/>
        <w:rPr>
          <w:rFonts w:ascii="Nexa XBold" w:eastAsia="Nexa XBold" w:hAnsi="Nexa XBold" w:cs="Nexa XBold"/>
          <w:b/>
          <w:color w:val="00B050"/>
          <w:sz w:val="30"/>
          <w:szCs w:val="30"/>
        </w:rPr>
      </w:pPr>
      <w:r>
        <w:rPr>
          <w:noProof/>
        </w:rPr>
        <w:drawing>
          <wp:anchor distT="0" distB="0" distL="114300" distR="114300" simplePos="0" relativeHeight="251658240" behindDoc="0" locked="0" layoutInCell="1" hidden="0" allowOverlap="1" wp14:anchorId="2EC9AA8F" wp14:editId="09A0FA0F">
            <wp:simplePos x="0" y="0"/>
            <wp:positionH relativeFrom="column">
              <wp:posOffset>1</wp:posOffset>
            </wp:positionH>
            <wp:positionV relativeFrom="paragraph">
              <wp:posOffset>0</wp:posOffset>
            </wp:positionV>
            <wp:extent cx="2343150" cy="714375"/>
            <wp:effectExtent l="0" t="0" r="0" b="0"/>
            <wp:wrapSquare wrapText="bothSides" distT="0" distB="0" distL="114300" distR="114300"/>
            <wp:docPr id="1073741857" name="image2.jpg" descr="C:\Users\u01cme\AppData\Local\Microsoft\Windows\INetCache\Content.MSO\8D7D2EEA.tmp"/>
            <wp:cNvGraphicFramePr/>
            <a:graphic xmlns:a="http://schemas.openxmlformats.org/drawingml/2006/main">
              <a:graphicData uri="http://schemas.openxmlformats.org/drawingml/2006/picture">
                <pic:pic xmlns:pic="http://schemas.openxmlformats.org/drawingml/2006/picture">
                  <pic:nvPicPr>
                    <pic:cNvPr id="0" name="image2.jpg" descr="C:\Users\u01cme\AppData\Local\Microsoft\Windows\INetCache\Content.MSO\8D7D2EEA.tmp"/>
                    <pic:cNvPicPr preferRelativeResize="0"/>
                  </pic:nvPicPr>
                  <pic:blipFill>
                    <a:blip r:embed="rId5"/>
                    <a:srcRect/>
                    <a:stretch>
                      <a:fillRect/>
                    </a:stretch>
                  </pic:blipFill>
                  <pic:spPr>
                    <a:xfrm>
                      <a:off x="0" y="0"/>
                      <a:ext cx="2343150" cy="714375"/>
                    </a:xfrm>
                    <a:prstGeom prst="rect">
                      <a:avLst/>
                    </a:prstGeom>
                    <a:ln/>
                  </pic:spPr>
                </pic:pic>
              </a:graphicData>
            </a:graphic>
          </wp:anchor>
        </w:drawing>
      </w:r>
      <w:r>
        <w:rPr>
          <w:noProof/>
        </w:rPr>
        <w:drawing>
          <wp:anchor distT="0" distB="0" distL="0" distR="0" simplePos="0" relativeHeight="251659264" behindDoc="0" locked="0" layoutInCell="1" hidden="0" allowOverlap="1" wp14:anchorId="7FA5B736" wp14:editId="13728170">
            <wp:simplePos x="0" y="0"/>
            <wp:positionH relativeFrom="column">
              <wp:posOffset>4762500</wp:posOffset>
            </wp:positionH>
            <wp:positionV relativeFrom="paragraph">
              <wp:posOffset>0</wp:posOffset>
            </wp:positionV>
            <wp:extent cx="906780" cy="902970"/>
            <wp:effectExtent l="0" t="0" r="0" b="0"/>
            <wp:wrapTopAndBottom distT="0" distB="0"/>
            <wp:docPr id="10737418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06780" cy="902970"/>
                    </a:xfrm>
                    <a:prstGeom prst="rect">
                      <a:avLst/>
                    </a:prstGeom>
                    <a:ln/>
                  </pic:spPr>
                </pic:pic>
              </a:graphicData>
            </a:graphic>
          </wp:anchor>
        </w:drawing>
      </w:r>
    </w:p>
    <w:p w14:paraId="77CAF7AC" w14:textId="77777777" w:rsidR="00324405" w:rsidRDefault="00000000">
      <w:pPr>
        <w:pBdr>
          <w:top w:val="none" w:sz="0" w:space="0" w:color="000000"/>
          <w:left w:val="none" w:sz="0" w:space="0" w:color="000000"/>
          <w:bottom w:val="none" w:sz="0" w:space="0" w:color="000000"/>
          <w:right w:val="none" w:sz="0" w:space="0" w:color="000000"/>
          <w:between w:val="nil"/>
        </w:pBdr>
        <w:tabs>
          <w:tab w:val="left" w:pos="5264"/>
          <w:tab w:val="left" w:pos="5520"/>
          <w:tab w:val="right" w:pos="8478"/>
        </w:tabs>
        <w:spacing w:after="200" w:line="360" w:lineRule="auto"/>
        <w:jc w:val="right"/>
        <w:rPr>
          <w:rFonts w:ascii="Trebuchet MS" w:eastAsia="Trebuchet MS" w:hAnsi="Trebuchet MS" w:cs="Trebuchet MS"/>
          <w:b/>
        </w:rPr>
      </w:pPr>
      <w:r>
        <w:rPr>
          <w:rFonts w:ascii="Verdana" w:eastAsia="Verdana" w:hAnsi="Verdana" w:cs="Verdana"/>
          <w:b/>
          <w:color w:val="000000"/>
          <w:sz w:val="20"/>
          <w:szCs w:val="20"/>
        </w:rPr>
        <w:t>COMUNICADO DE PRENSA</w:t>
      </w:r>
    </w:p>
    <w:p w14:paraId="408C8595" w14:textId="77777777" w:rsidR="00324405" w:rsidRDefault="00324405">
      <w:pPr>
        <w:pBdr>
          <w:top w:val="nil"/>
          <w:left w:val="nil"/>
          <w:bottom w:val="nil"/>
          <w:right w:val="nil"/>
          <w:between w:val="nil"/>
        </w:pBdr>
        <w:tabs>
          <w:tab w:val="left" w:pos="2478"/>
        </w:tabs>
        <w:spacing w:after="0" w:line="276" w:lineRule="auto"/>
        <w:jc w:val="center"/>
        <w:rPr>
          <w:rFonts w:ascii="Nexa XBold" w:eastAsia="Nexa XBold" w:hAnsi="Nexa XBold" w:cs="Nexa XBold"/>
          <w:b/>
          <w:color w:val="00B050"/>
          <w:sz w:val="30"/>
          <w:szCs w:val="30"/>
        </w:rPr>
      </w:pPr>
    </w:p>
    <w:p w14:paraId="69ED87F5" w14:textId="77777777" w:rsidR="00324405" w:rsidRDefault="00000000">
      <w:pPr>
        <w:pBdr>
          <w:top w:val="nil"/>
          <w:left w:val="nil"/>
          <w:bottom w:val="nil"/>
          <w:right w:val="nil"/>
          <w:between w:val="nil"/>
        </w:pBdr>
        <w:tabs>
          <w:tab w:val="left" w:pos="2478"/>
        </w:tabs>
        <w:spacing w:after="0" w:line="276" w:lineRule="auto"/>
        <w:jc w:val="center"/>
        <w:rPr>
          <w:rFonts w:ascii="Nexa XBold" w:eastAsia="Nexa XBold" w:hAnsi="Nexa XBold" w:cs="Nexa XBold"/>
          <w:b/>
          <w:color w:val="00B050"/>
          <w:sz w:val="30"/>
          <w:szCs w:val="30"/>
        </w:rPr>
      </w:pPr>
      <w:proofErr w:type="spellStart"/>
      <w:r>
        <w:rPr>
          <w:rFonts w:ascii="Nexa XBold" w:eastAsia="Nexa XBold" w:hAnsi="Nexa XBold" w:cs="Nexa XBold"/>
          <w:b/>
          <w:color w:val="00B050"/>
          <w:sz w:val="30"/>
          <w:szCs w:val="30"/>
        </w:rPr>
        <w:t>Transavia</w:t>
      </w:r>
      <w:proofErr w:type="spellEnd"/>
      <w:r>
        <w:rPr>
          <w:rFonts w:ascii="Nexa XBold" w:eastAsia="Nexa XBold" w:hAnsi="Nexa XBold" w:cs="Nexa XBold"/>
          <w:b/>
          <w:color w:val="00B050"/>
          <w:sz w:val="30"/>
          <w:szCs w:val="30"/>
        </w:rPr>
        <w:t xml:space="preserve"> Holanda continúa con la modernización de su flota y da la bienvenida al cuarto Airbus A321neo</w:t>
      </w:r>
    </w:p>
    <w:p w14:paraId="5885B23F" w14:textId="77777777" w:rsidR="00324405" w:rsidRDefault="00324405">
      <w:pPr>
        <w:pBdr>
          <w:top w:val="nil"/>
          <w:left w:val="nil"/>
          <w:bottom w:val="nil"/>
          <w:right w:val="nil"/>
          <w:between w:val="nil"/>
        </w:pBdr>
        <w:tabs>
          <w:tab w:val="left" w:pos="2478"/>
        </w:tabs>
        <w:spacing w:after="0" w:line="276" w:lineRule="auto"/>
        <w:rPr>
          <w:rFonts w:ascii="Nexa XBold" w:eastAsia="Nexa XBold" w:hAnsi="Nexa XBold" w:cs="Nexa XBold"/>
          <w:i/>
          <w:sz w:val="24"/>
          <w:szCs w:val="24"/>
        </w:rPr>
      </w:pPr>
    </w:p>
    <w:p w14:paraId="1C13F87A" w14:textId="77777777" w:rsidR="00324405" w:rsidRDefault="00000000">
      <w:pPr>
        <w:pBdr>
          <w:top w:val="nil"/>
          <w:left w:val="nil"/>
          <w:bottom w:val="nil"/>
          <w:right w:val="nil"/>
          <w:between w:val="nil"/>
        </w:pBdr>
        <w:tabs>
          <w:tab w:val="left" w:pos="2478"/>
        </w:tabs>
        <w:spacing w:after="0" w:line="276" w:lineRule="auto"/>
        <w:jc w:val="center"/>
        <w:rPr>
          <w:rFonts w:ascii="Nexa XBold" w:eastAsia="Nexa XBold" w:hAnsi="Nexa XBold" w:cs="Nexa XBold"/>
          <w:i/>
          <w:sz w:val="24"/>
          <w:szCs w:val="24"/>
        </w:rPr>
      </w:pPr>
      <w:r>
        <w:rPr>
          <w:rFonts w:ascii="Nexa XBold" w:eastAsia="Nexa XBold" w:hAnsi="Nexa XBold" w:cs="Nexa XBold"/>
          <w:i/>
          <w:sz w:val="24"/>
          <w:szCs w:val="24"/>
        </w:rPr>
        <w:t>Con menor impacto ambiental y acústico, es el primero en propiedad de la aerolínea</w:t>
      </w:r>
    </w:p>
    <w:p w14:paraId="45300EC7" w14:textId="77777777" w:rsidR="00324405" w:rsidRDefault="00324405">
      <w:pPr>
        <w:spacing w:after="0" w:line="276" w:lineRule="auto"/>
        <w:jc w:val="both"/>
        <w:rPr>
          <w:rFonts w:ascii="Nexa XBold" w:eastAsia="Nexa XBold" w:hAnsi="Nexa XBold" w:cs="Nexa XBold"/>
          <w:sz w:val="23"/>
          <w:szCs w:val="23"/>
        </w:rPr>
      </w:pPr>
    </w:p>
    <w:p w14:paraId="5FB3B372" w14:textId="77777777" w:rsidR="00324405" w:rsidRDefault="00324405">
      <w:pPr>
        <w:spacing w:after="0" w:line="276" w:lineRule="auto"/>
        <w:jc w:val="both"/>
        <w:rPr>
          <w:rFonts w:ascii="Nexa XBold" w:eastAsia="Nexa XBold" w:hAnsi="Nexa XBold" w:cs="Nexa XBold"/>
          <w:sz w:val="23"/>
          <w:szCs w:val="23"/>
        </w:rPr>
      </w:pPr>
    </w:p>
    <w:p w14:paraId="0BF7FD60" w14:textId="77777777" w:rsidR="00324405" w:rsidRDefault="00324405">
      <w:pPr>
        <w:spacing w:after="0" w:line="276" w:lineRule="auto"/>
        <w:jc w:val="both"/>
        <w:rPr>
          <w:rFonts w:ascii="Nexa XBold" w:eastAsia="Nexa XBold" w:hAnsi="Nexa XBold" w:cs="Nexa XBold"/>
          <w:color w:val="000000"/>
          <w:sz w:val="23"/>
          <w:szCs w:val="23"/>
        </w:rPr>
      </w:pPr>
    </w:p>
    <w:p w14:paraId="43C00100"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b/>
        </w:rPr>
        <w:t>Ámsterdam, 13 de mayo de 2024</w:t>
      </w:r>
      <w:r>
        <w:rPr>
          <w:rFonts w:ascii="Nexa XBold" w:eastAsia="Nexa XBold" w:hAnsi="Nexa XBold" w:cs="Nexa XBold"/>
        </w:rPr>
        <w:t xml:space="preserve">: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Holanda </w:t>
      </w:r>
      <w:r>
        <w:rPr>
          <w:rFonts w:ascii="Nexa XBold" w:eastAsia="Nexa XBold" w:hAnsi="Nexa XBold" w:cs="Nexa XBold"/>
        </w:rPr>
        <w:t>ya cuenta con</w:t>
      </w:r>
      <w:r>
        <w:rPr>
          <w:rFonts w:ascii="Nexa XBold" w:eastAsia="Nexa XBold" w:hAnsi="Nexa XBold" w:cs="Nexa XBold"/>
          <w:color w:val="000000"/>
        </w:rPr>
        <w:t xml:space="preserve"> su primer Airbus A321neo en propiedad </w:t>
      </w:r>
      <w:r>
        <w:rPr>
          <w:rFonts w:ascii="Nexa XBold" w:eastAsia="Nexa XBold" w:hAnsi="Nexa XBold" w:cs="Nexa XBold"/>
        </w:rPr>
        <w:t>en el marco</w:t>
      </w:r>
      <w:r>
        <w:rPr>
          <w:rFonts w:ascii="Nexa XBold" w:eastAsia="Nexa XBold" w:hAnsi="Nexa XBold" w:cs="Nexa XBold"/>
          <w:color w:val="000000"/>
        </w:rPr>
        <w:t xml:space="preserve"> de </w:t>
      </w:r>
      <w:r>
        <w:rPr>
          <w:rFonts w:ascii="Nexa XBold" w:eastAsia="Nexa XBold" w:hAnsi="Nexa XBold" w:cs="Nexa XBold"/>
        </w:rPr>
        <w:t xml:space="preserve">su </w:t>
      </w:r>
      <w:r>
        <w:rPr>
          <w:rFonts w:ascii="Nexa XBold" w:eastAsia="Nexa XBold" w:hAnsi="Nexa XBold" w:cs="Nexa XBold"/>
          <w:b/>
        </w:rPr>
        <w:t xml:space="preserve">ambiciosa </w:t>
      </w:r>
      <w:r>
        <w:rPr>
          <w:rFonts w:ascii="Nexa XBold" w:eastAsia="Nexa XBold" w:hAnsi="Nexa XBold" w:cs="Nexa XBold"/>
          <w:b/>
          <w:color w:val="000000"/>
        </w:rPr>
        <w:t>renovación de flota</w:t>
      </w:r>
      <w:r>
        <w:rPr>
          <w:rFonts w:ascii="Nexa XBold" w:eastAsia="Nexa XBold" w:hAnsi="Nexa XBold" w:cs="Nexa XBold"/>
          <w:color w:val="000000"/>
        </w:rPr>
        <w:t xml:space="preserve">. El nuevo avión, con matrícula PH-YHA, aterrizó en el aeropuerto de Schiphol, en </w:t>
      </w:r>
      <w:r>
        <w:rPr>
          <w:rFonts w:ascii="Nexa XBold" w:eastAsia="Nexa XBold" w:hAnsi="Nexa XBold" w:cs="Nexa XBold"/>
        </w:rPr>
        <w:t xml:space="preserve">Ámsterdam, el pasado 30 de abril. </w:t>
      </w:r>
    </w:p>
    <w:p w14:paraId="37F32E86" w14:textId="77777777" w:rsidR="00324405" w:rsidRDefault="00324405">
      <w:pPr>
        <w:spacing w:after="0" w:line="276" w:lineRule="auto"/>
        <w:jc w:val="both"/>
        <w:rPr>
          <w:rFonts w:ascii="Nexa XBold" w:eastAsia="Nexa XBold" w:hAnsi="Nexa XBold" w:cs="Nexa XBold"/>
        </w:rPr>
      </w:pPr>
    </w:p>
    <w:p w14:paraId="074C9623"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rPr>
        <w:t>Se trata</w:t>
      </w:r>
      <w:r>
        <w:rPr>
          <w:rFonts w:ascii="Nexa XBold" w:eastAsia="Nexa XBold" w:hAnsi="Nexa XBold" w:cs="Nexa XBold"/>
          <w:color w:val="000000"/>
        </w:rPr>
        <w:t xml:space="preserve"> del cuarto A321neo que entra en servicio para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Holanda. Los tres Airbus entregados anteriormente </w:t>
      </w:r>
      <w:r>
        <w:rPr>
          <w:rFonts w:ascii="Nexa XBold" w:eastAsia="Nexa XBold" w:hAnsi="Nexa XBold" w:cs="Nexa XBold"/>
        </w:rPr>
        <w:t>formaban</w:t>
      </w:r>
      <w:r>
        <w:rPr>
          <w:rFonts w:ascii="Nexa XBold" w:eastAsia="Nexa XBold" w:hAnsi="Nexa XBold" w:cs="Nexa XBold"/>
          <w:color w:val="000000"/>
        </w:rPr>
        <w:t xml:space="preserve"> parte de un acuerdo de arrendamiento a largo plazo con ALC.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que sustituirá toda su flota Boeing en los próximos años, </w:t>
      </w:r>
      <w:r>
        <w:rPr>
          <w:rFonts w:ascii="Nexa XBold" w:eastAsia="Nexa XBold" w:hAnsi="Nexa XBold" w:cs="Nexa XBold"/>
        </w:rPr>
        <w:t>está centrando sus esfuerzos en</w:t>
      </w:r>
      <w:r>
        <w:rPr>
          <w:rFonts w:ascii="Nexa XBold" w:eastAsia="Nexa XBold" w:hAnsi="Nexa XBold" w:cs="Nexa XBold"/>
          <w:color w:val="000000"/>
        </w:rPr>
        <w:t xml:space="preserve"> impulsar una </w:t>
      </w:r>
      <w:r>
        <w:rPr>
          <w:rFonts w:ascii="Nexa XBold" w:eastAsia="Nexa XBold" w:hAnsi="Nexa XBold" w:cs="Nexa XBold"/>
          <w:b/>
          <w:color w:val="000000"/>
        </w:rPr>
        <w:t>aviación más limpia, silenciosa y eficiente en el consumo de combustible</w:t>
      </w:r>
      <w:r>
        <w:rPr>
          <w:rFonts w:ascii="Nexa XBold" w:eastAsia="Nexa XBold" w:hAnsi="Nexa XBold" w:cs="Nexa XBold"/>
        </w:rPr>
        <w:t xml:space="preserve">. </w:t>
      </w:r>
    </w:p>
    <w:p w14:paraId="20286CD2" w14:textId="77777777" w:rsidR="00324405" w:rsidRDefault="00324405">
      <w:pPr>
        <w:spacing w:after="0" w:line="276" w:lineRule="auto"/>
        <w:jc w:val="both"/>
        <w:rPr>
          <w:rFonts w:ascii="Nexa XBold" w:eastAsia="Nexa XBold" w:hAnsi="Nexa XBold" w:cs="Nexa XBold"/>
        </w:rPr>
      </w:pPr>
    </w:p>
    <w:p w14:paraId="49E37F4B" w14:textId="77777777" w:rsidR="00324405" w:rsidRDefault="00000000">
      <w:pPr>
        <w:spacing w:after="0" w:line="276" w:lineRule="auto"/>
        <w:jc w:val="both"/>
        <w:rPr>
          <w:rFonts w:ascii="Nexa XBold" w:eastAsia="Nexa XBold" w:hAnsi="Nexa XBold" w:cs="Nexa XBold"/>
          <w:b/>
          <w:color w:val="000000"/>
        </w:rPr>
      </w:pPr>
      <w:r>
        <w:rPr>
          <w:rFonts w:ascii="Nexa XBold" w:eastAsia="Nexa XBold" w:hAnsi="Nexa XBold" w:cs="Nexa XBold"/>
          <w:b/>
          <w:color w:val="000000"/>
        </w:rPr>
        <w:t>Más silencioso</w:t>
      </w:r>
    </w:p>
    <w:p w14:paraId="37973344" w14:textId="77777777" w:rsidR="00324405" w:rsidRDefault="00324405">
      <w:pPr>
        <w:spacing w:after="0" w:line="276" w:lineRule="auto"/>
        <w:jc w:val="both"/>
        <w:rPr>
          <w:rFonts w:ascii="Nexa XBold" w:eastAsia="Nexa XBold" w:hAnsi="Nexa XBold" w:cs="Nexa XBold"/>
          <w:color w:val="000000"/>
        </w:rPr>
      </w:pPr>
    </w:p>
    <w:p w14:paraId="3E969B6F"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color w:val="000000"/>
        </w:rPr>
        <w:t xml:space="preserve">La familia Airbus A320 ha demostrado </w:t>
      </w:r>
      <w:r>
        <w:rPr>
          <w:rFonts w:ascii="Nexa XBold" w:eastAsia="Nexa XBold" w:hAnsi="Nexa XBold" w:cs="Nexa XBold"/>
        </w:rPr>
        <w:t xml:space="preserve">tener un impacto acústico menor en el entorno </w:t>
      </w:r>
      <w:r>
        <w:rPr>
          <w:rFonts w:ascii="Nexa XBold" w:eastAsia="Nexa XBold" w:hAnsi="Nexa XBold" w:cs="Nexa XBold"/>
          <w:color w:val="000000"/>
        </w:rPr>
        <w:t xml:space="preserve">que la generación anterior de aviones. Así </w:t>
      </w:r>
      <w:r>
        <w:rPr>
          <w:rFonts w:ascii="Nexa XBold" w:eastAsia="Nexa XBold" w:hAnsi="Nexa XBold" w:cs="Nexa XBold"/>
        </w:rPr>
        <w:t xml:space="preserve">lo ratifican </w:t>
      </w:r>
      <w:r>
        <w:rPr>
          <w:rFonts w:ascii="Nexa XBold" w:eastAsia="Nexa XBold" w:hAnsi="Nexa XBold" w:cs="Nexa XBold"/>
          <w:color w:val="000000"/>
        </w:rPr>
        <w:t>las investigaciones del Centro Aeroespacial de los Países Bajos (NLR, en ingl</w:t>
      </w:r>
      <w:r>
        <w:rPr>
          <w:rFonts w:ascii="Nexa XBold" w:eastAsia="Nexa XBold" w:hAnsi="Nexa XBold" w:cs="Nexa XBold"/>
        </w:rPr>
        <w:t>és</w:t>
      </w:r>
      <w:r>
        <w:rPr>
          <w:rFonts w:ascii="Nexa XBold" w:eastAsia="Nexa XBold" w:hAnsi="Nexa XBold" w:cs="Nexa XBold"/>
          <w:color w:val="000000"/>
        </w:rPr>
        <w:t xml:space="preserve">), entre otros, y también lo confirma el </w:t>
      </w:r>
      <w:proofErr w:type="spellStart"/>
      <w:r>
        <w:rPr>
          <w:rFonts w:ascii="Nexa XBold" w:eastAsia="Nexa XBold" w:hAnsi="Nexa XBold" w:cs="Nexa XBold"/>
          <w:color w:val="000000"/>
        </w:rPr>
        <w:t>Bewoners</w:t>
      </w:r>
      <w:proofErr w:type="spellEnd"/>
      <w:r>
        <w:rPr>
          <w:rFonts w:ascii="Nexa XBold" w:eastAsia="Nexa XBold" w:hAnsi="Nexa XBold" w:cs="Nexa XBold"/>
          <w:color w:val="000000"/>
        </w:rPr>
        <w:t xml:space="preserve"> </w:t>
      </w:r>
      <w:proofErr w:type="spellStart"/>
      <w:r>
        <w:rPr>
          <w:rFonts w:ascii="Nexa XBold" w:eastAsia="Nexa XBold" w:hAnsi="Nexa XBold" w:cs="Nexa XBold"/>
          <w:color w:val="000000"/>
        </w:rPr>
        <w:t>Aanspreekpunt</w:t>
      </w:r>
      <w:proofErr w:type="spellEnd"/>
      <w:r>
        <w:rPr>
          <w:rFonts w:ascii="Nexa XBold" w:eastAsia="Nexa XBold" w:hAnsi="Nexa XBold" w:cs="Nexa XBold"/>
          <w:color w:val="000000"/>
        </w:rPr>
        <w:t xml:space="preserve"> Schiphol (BAS), que </w:t>
      </w:r>
      <w:r>
        <w:rPr>
          <w:rFonts w:ascii="Nexa XBold" w:eastAsia="Nexa XBold" w:hAnsi="Nexa XBold" w:cs="Nexa XBold"/>
        </w:rPr>
        <w:t xml:space="preserve">realiza un seguimiento del </w:t>
      </w:r>
      <w:r>
        <w:rPr>
          <w:rFonts w:ascii="Nexa XBold" w:eastAsia="Nexa XBold" w:hAnsi="Nexa XBold" w:cs="Nexa XBold"/>
          <w:color w:val="000000"/>
        </w:rPr>
        <w:t xml:space="preserve">número de </w:t>
      </w:r>
      <w:r>
        <w:rPr>
          <w:rFonts w:ascii="Nexa XBold" w:eastAsia="Nexa XBold" w:hAnsi="Nexa XBold" w:cs="Nexa XBold"/>
        </w:rPr>
        <w:t>reportes</w:t>
      </w:r>
      <w:r>
        <w:rPr>
          <w:rFonts w:ascii="Nexa XBold" w:eastAsia="Nexa XBold" w:hAnsi="Nexa XBold" w:cs="Nexa XBold"/>
          <w:color w:val="000000"/>
        </w:rPr>
        <w:t xml:space="preserve"> </w:t>
      </w:r>
      <w:r>
        <w:rPr>
          <w:rFonts w:ascii="Nexa XBold" w:eastAsia="Nexa XBold" w:hAnsi="Nexa XBold" w:cs="Nexa XBold"/>
        </w:rPr>
        <w:t>relacionados con las</w:t>
      </w:r>
      <w:r>
        <w:rPr>
          <w:rFonts w:ascii="Nexa XBold" w:eastAsia="Nexa XBold" w:hAnsi="Nexa XBold" w:cs="Nexa XBold"/>
          <w:color w:val="000000"/>
        </w:rPr>
        <w:t xml:space="preserve"> molestias acústicas en los alrededores del aeropuerto. Entre </w:t>
      </w:r>
      <w:r>
        <w:rPr>
          <w:rFonts w:ascii="Nexa XBold" w:eastAsia="Nexa XBold" w:hAnsi="Nexa XBold" w:cs="Nexa XBold"/>
        </w:rPr>
        <w:t>otros aspectos</w:t>
      </w:r>
      <w:r>
        <w:rPr>
          <w:rFonts w:ascii="Nexa XBold" w:eastAsia="Nexa XBold" w:hAnsi="Nexa XBold" w:cs="Nexa XBold"/>
          <w:color w:val="000000"/>
        </w:rPr>
        <w:t xml:space="preserve">, el BAS concluye que la renovación de la flota podría tener un impacto positivo en el número de </w:t>
      </w:r>
      <w:r>
        <w:rPr>
          <w:rFonts w:ascii="Nexa XBold" w:eastAsia="Nexa XBold" w:hAnsi="Nexa XBold" w:cs="Nexa XBold"/>
        </w:rPr>
        <w:t>reportes</w:t>
      </w:r>
      <w:r>
        <w:rPr>
          <w:rFonts w:ascii="Nexa XBold" w:eastAsia="Nexa XBold" w:hAnsi="Nexa XBold" w:cs="Nexa XBold"/>
          <w:color w:val="000000"/>
        </w:rPr>
        <w:t xml:space="preserve"> </w:t>
      </w:r>
      <w:r>
        <w:rPr>
          <w:rFonts w:ascii="Nexa XBold" w:eastAsia="Nexa XBold" w:hAnsi="Nexa XBold" w:cs="Nexa XBold"/>
        </w:rPr>
        <w:t>y</w:t>
      </w:r>
      <w:r>
        <w:rPr>
          <w:rFonts w:ascii="Nexa XBold" w:eastAsia="Nexa XBold" w:hAnsi="Nexa XBold" w:cs="Nexa XBold"/>
          <w:color w:val="000000"/>
        </w:rPr>
        <w:t>, por lo tanto, en las p</w:t>
      </w:r>
      <w:r>
        <w:rPr>
          <w:rFonts w:ascii="Nexa XBold" w:eastAsia="Nexa XBold" w:hAnsi="Nexa XBold" w:cs="Nexa XBold"/>
        </w:rPr>
        <w:t>osibles</w:t>
      </w:r>
      <w:r>
        <w:rPr>
          <w:rFonts w:ascii="Nexa XBold" w:eastAsia="Nexa XBold" w:hAnsi="Nexa XBold" w:cs="Nexa XBold"/>
          <w:color w:val="000000"/>
        </w:rPr>
        <w:t xml:space="preserve"> molestias </w:t>
      </w:r>
      <w:r>
        <w:rPr>
          <w:rFonts w:ascii="Nexa XBold" w:eastAsia="Nexa XBold" w:hAnsi="Nexa XBold" w:cs="Nexa XBold"/>
        </w:rPr>
        <w:t>ocasionadas</w:t>
      </w:r>
      <w:r>
        <w:rPr>
          <w:rFonts w:ascii="Nexa XBold" w:eastAsia="Nexa XBold" w:hAnsi="Nexa XBold" w:cs="Nexa XBold"/>
          <w:color w:val="000000"/>
        </w:rPr>
        <w:t>.</w:t>
      </w:r>
    </w:p>
    <w:p w14:paraId="32D5C219" w14:textId="77777777" w:rsidR="00324405" w:rsidRDefault="00324405">
      <w:pPr>
        <w:spacing w:after="0" w:line="276" w:lineRule="auto"/>
        <w:jc w:val="both"/>
        <w:rPr>
          <w:rFonts w:ascii="Nexa XBold" w:eastAsia="Nexa XBold" w:hAnsi="Nexa XBold" w:cs="Nexa XBold"/>
        </w:rPr>
      </w:pPr>
    </w:p>
    <w:p w14:paraId="4D840B94" w14:textId="77777777" w:rsidR="00324405" w:rsidRDefault="00000000">
      <w:pPr>
        <w:spacing w:after="0" w:line="276" w:lineRule="auto"/>
        <w:jc w:val="both"/>
        <w:rPr>
          <w:rFonts w:ascii="Nexa XBold" w:eastAsia="Nexa XBold" w:hAnsi="Nexa XBold" w:cs="Nexa XBold"/>
          <w:color w:val="000000"/>
        </w:rPr>
      </w:pP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comprende la necesidad de reducir la contaminaci</w:t>
      </w:r>
      <w:r>
        <w:rPr>
          <w:rFonts w:ascii="Nexa XBold" w:eastAsia="Nexa XBold" w:hAnsi="Nexa XBold" w:cs="Nexa XBold"/>
        </w:rPr>
        <w:t>ón acústica</w:t>
      </w:r>
      <w:r>
        <w:rPr>
          <w:rFonts w:ascii="Nexa XBold" w:eastAsia="Nexa XBold" w:hAnsi="Nexa XBold" w:cs="Nexa XBold"/>
          <w:color w:val="000000"/>
        </w:rPr>
        <w:t xml:space="preserve">. Este verano, alrededor de una quinta parte de todos los vuelos nocturnos de la compañía se realizarán con un Airbus. El año que viene, más de la mitad de los aviones de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en Schiphol serán Airbus, lo que </w:t>
      </w:r>
      <w:r>
        <w:rPr>
          <w:rFonts w:ascii="Nexa XBold" w:eastAsia="Nexa XBold" w:hAnsi="Nexa XBold" w:cs="Nexa XBold"/>
          <w:b/>
        </w:rPr>
        <w:t>rebajará</w:t>
      </w:r>
      <w:r>
        <w:rPr>
          <w:rFonts w:ascii="Nexa XBold" w:eastAsia="Nexa XBold" w:hAnsi="Nexa XBold" w:cs="Nexa XBold"/>
          <w:b/>
          <w:color w:val="000000"/>
        </w:rPr>
        <w:t xml:space="preserve"> aún más las emisiones de</w:t>
      </w:r>
      <w:r>
        <w:rPr>
          <w:rFonts w:ascii="Verdana" w:eastAsia="Verdana" w:hAnsi="Verdana" w:cs="Verdana"/>
          <w:b/>
          <w:color w:val="000000"/>
        </w:rPr>
        <w:t xml:space="preserve"> </w:t>
      </w:r>
      <w:r>
        <w:rPr>
          <w:rFonts w:ascii="Verdana" w:eastAsia="Verdana" w:hAnsi="Verdana" w:cs="Verdana"/>
          <w:b/>
          <w:color w:val="202124"/>
          <w:highlight w:val="white"/>
        </w:rPr>
        <w:t>CO</w:t>
      </w:r>
      <w:r>
        <w:rPr>
          <w:rFonts w:ascii="Verdana" w:eastAsia="Verdana" w:hAnsi="Verdana" w:cs="Verdana"/>
          <w:b/>
          <w:color w:val="202124"/>
          <w:highlight w:val="white"/>
          <w:vertAlign w:val="subscript"/>
        </w:rPr>
        <w:t>2</w:t>
      </w:r>
      <w:r>
        <w:rPr>
          <w:rFonts w:ascii="Verdana" w:eastAsia="Verdana" w:hAnsi="Verdana" w:cs="Verdana"/>
          <w:b/>
          <w:color w:val="000000"/>
        </w:rPr>
        <w:t xml:space="preserve"> </w:t>
      </w:r>
      <w:r>
        <w:rPr>
          <w:rFonts w:ascii="Nexa XBold" w:eastAsia="Nexa XBold" w:hAnsi="Nexa XBold" w:cs="Nexa XBold"/>
          <w:b/>
        </w:rPr>
        <w:t>e</w:t>
      </w:r>
      <w:r>
        <w:rPr>
          <w:rFonts w:ascii="Nexa XBold" w:eastAsia="Nexa XBold" w:hAnsi="Nexa XBold" w:cs="Nexa XBold"/>
          <w:b/>
          <w:color w:val="000000"/>
        </w:rPr>
        <w:t>n más de un 15 %</w:t>
      </w:r>
      <w:r>
        <w:rPr>
          <w:rFonts w:ascii="Nexa XBold" w:eastAsia="Nexa XBold" w:hAnsi="Nexa XBold" w:cs="Nexa XBold"/>
          <w:color w:val="000000"/>
        </w:rPr>
        <w:t xml:space="preserve"> en comparación con la generación anterior de aviones.</w:t>
      </w:r>
    </w:p>
    <w:p w14:paraId="5DBD0614" w14:textId="77777777" w:rsidR="00324405" w:rsidRDefault="00324405">
      <w:pPr>
        <w:spacing w:after="0" w:line="276" w:lineRule="auto"/>
        <w:jc w:val="both"/>
        <w:rPr>
          <w:rFonts w:ascii="Nexa XBold" w:eastAsia="Nexa XBold" w:hAnsi="Nexa XBold" w:cs="Nexa XBold"/>
        </w:rPr>
      </w:pPr>
    </w:p>
    <w:p w14:paraId="379F1AE3"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b/>
          <w:color w:val="000000"/>
        </w:rPr>
        <w:t xml:space="preserve">Marcel de </w:t>
      </w:r>
      <w:proofErr w:type="spellStart"/>
      <w:r>
        <w:rPr>
          <w:rFonts w:ascii="Nexa XBold" w:eastAsia="Nexa XBold" w:hAnsi="Nexa XBold" w:cs="Nexa XBold"/>
          <w:b/>
          <w:color w:val="000000"/>
        </w:rPr>
        <w:t>Nooijer</w:t>
      </w:r>
      <w:proofErr w:type="spellEnd"/>
      <w:r>
        <w:rPr>
          <w:rFonts w:ascii="Nexa XBold" w:eastAsia="Nexa XBold" w:hAnsi="Nexa XBold" w:cs="Nexa XBold"/>
          <w:b/>
          <w:color w:val="000000"/>
        </w:rPr>
        <w:t xml:space="preserve">, </w:t>
      </w:r>
      <w:r>
        <w:rPr>
          <w:rFonts w:ascii="Nexa XBold" w:eastAsia="Nexa XBold" w:hAnsi="Nexa XBold" w:cs="Nexa XBold"/>
          <w:b/>
        </w:rPr>
        <w:t>d</w:t>
      </w:r>
      <w:r>
        <w:rPr>
          <w:rFonts w:ascii="Nexa XBold" w:eastAsia="Nexa XBold" w:hAnsi="Nexa XBold" w:cs="Nexa XBold"/>
          <w:b/>
          <w:color w:val="000000"/>
        </w:rPr>
        <w:t xml:space="preserve">irector </w:t>
      </w:r>
      <w:r>
        <w:rPr>
          <w:rFonts w:ascii="Nexa XBold" w:eastAsia="Nexa XBold" w:hAnsi="Nexa XBold" w:cs="Nexa XBold"/>
          <w:b/>
        </w:rPr>
        <w:t>general</w:t>
      </w:r>
      <w:r>
        <w:rPr>
          <w:rFonts w:ascii="Nexa XBold" w:eastAsia="Nexa XBold" w:hAnsi="Nexa XBold" w:cs="Nexa XBold"/>
          <w:b/>
          <w:color w:val="000000"/>
        </w:rPr>
        <w:t xml:space="preserve"> de </w:t>
      </w:r>
      <w:proofErr w:type="spellStart"/>
      <w:r>
        <w:rPr>
          <w:rFonts w:ascii="Nexa XBold" w:eastAsia="Nexa XBold" w:hAnsi="Nexa XBold" w:cs="Nexa XBold"/>
          <w:b/>
          <w:color w:val="000000"/>
        </w:rPr>
        <w:t>Transavia</w:t>
      </w:r>
      <w:proofErr w:type="spellEnd"/>
      <w:r>
        <w:rPr>
          <w:rFonts w:ascii="Nexa XBold" w:eastAsia="Nexa XBold" w:hAnsi="Nexa XBold" w:cs="Nexa XBold"/>
        </w:rPr>
        <w:t>, comenta: “</w:t>
      </w:r>
      <w:r>
        <w:rPr>
          <w:rFonts w:ascii="Nexa XBold" w:eastAsia="Nexa XBold" w:hAnsi="Nexa XBold" w:cs="Nexa XBold"/>
          <w:color w:val="000000"/>
        </w:rPr>
        <w:t xml:space="preserve">No </w:t>
      </w:r>
      <w:r>
        <w:rPr>
          <w:rFonts w:ascii="Nexa XBold" w:eastAsia="Nexa XBold" w:hAnsi="Nexa XBold" w:cs="Nexa XBold"/>
        </w:rPr>
        <w:t xml:space="preserve">queremos eludir nuestra </w:t>
      </w:r>
      <w:r>
        <w:rPr>
          <w:rFonts w:ascii="Nexa XBold" w:eastAsia="Nexa XBold" w:hAnsi="Nexa XBold" w:cs="Nexa XBold"/>
          <w:color w:val="000000"/>
        </w:rPr>
        <w:t xml:space="preserve">responsabilidad de volar de forma más </w:t>
      </w:r>
      <w:r>
        <w:rPr>
          <w:rFonts w:ascii="Nexa XBold" w:eastAsia="Nexa XBold" w:hAnsi="Nexa XBold" w:cs="Nexa XBold"/>
        </w:rPr>
        <w:t>sostenible</w:t>
      </w:r>
      <w:r>
        <w:rPr>
          <w:rFonts w:ascii="Nexa XBold" w:eastAsia="Nexa XBold" w:hAnsi="Nexa XBold" w:cs="Nexa XBold"/>
          <w:color w:val="000000"/>
        </w:rPr>
        <w:t>, silenciosa y económica. En cuatro meses ya hemos introducido cuatro aviones nuevos. Los A</w:t>
      </w:r>
      <w:r>
        <w:rPr>
          <w:rFonts w:ascii="Nexa XBold" w:eastAsia="Nexa XBold" w:hAnsi="Nexa XBold" w:cs="Nexa XBold"/>
        </w:rPr>
        <w:t>irbus</w:t>
      </w:r>
      <w:r>
        <w:rPr>
          <w:rFonts w:ascii="Nexa XBold" w:eastAsia="Nexa XBold" w:hAnsi="Nexa XBold" w:cs="Nexa XBold"/>
          <w:color w:val="000000"/>
        </w:rPr>
        <w:t xml:space="preserve"> número cinco y seis llegarán antes del verano</w:t>
      </w:r>
      <w:r>
        <w:rPr>
          <w:rFonts w:ascii="Nexa XBold" w:eastAsia="Nexa XBold" w:hAnsi="Nexa XBold" w:cs="Nexa XBold"/>
        </w:rPr>
        <w:t>; y l</w:t>
      </w:r>
      <w:r>
        <w:rPr>
          <w:rFonts w:ascii="Nexa XBold" w:eastAsia="Nexa XBold" w:hAnsi="Nexa XBold" w:cs="Nexa XBold"/>
          <w:color w:val="000000"/>
        </w:rPr>
        <w:t xml:space="preserve">os </w:t>
      </w:r>
      <w:r>
        <w:rPr>
          <w:rFonts w:ascii="Nexa XBold" w:eastAsia="Nexa XBold" w:hAnsi="Nexa XBold" w:cs="Nexa XBold"/>
          <w:color w:val="000000"/>
        </w:rPr>
        <w:lastRenderedPageBreak/>
        <w:t xml:space="preserve">números siete y ocho </w:t>
      </w:r>
      <w:r>
        <w:rPr>
          <w:rFonts w:ascii="Nexa XBold" w:eastAsia="Nexa XBold" w:hAnsi="Nexa XBold" w:cs="Nexa XBold"/>
        </w:rPr>
        <w:t>lo harán</w:t>
      </w:r>
      <w:r>
        <w:rPr>
          <w:rFonts w:ascii="Nexa XBold" w:eastAsia="Nexa XBold" w:hAnsi="Nexa XBold" w:cs="Nexa XBold"/>
          <w:color w:val="000000"/>
        </w:rPr>
        <w:t xml:space="preserve"> a finales de este año. El ritmo al que estamos renovando nuestra flota</w:t>
      </w:r>
      <w:r>
        <w:rPr>
          <w:rFonts w:ascii="Nexa XBold" w:eastAsia="Nexa XBold" w:hAnsi="Nexa XBold" w:cs="Nexa XBold"/>
        </w:rPr>
        <w:t xml:space="preserve"> a través de</w:t>
      </w:r>
      <w:r>
        <w:rPr>
          <w:rFonts w:ascii="Nexa XBold" w:eastAsia="Nexa XBold" w:hAnsi="Nexa XBold" w:cs="Nexa XBold"/>
          <w:color w:val="000000"/>
        </w:rPr>
        <w:t xml:space="preserve"> esta inversión </w:t>
      </w:r>
      <w:r>
        <w:rPr>
          <w:rFonts w:ascii="Nexa XBold" w:eastAsia="Nexa XBold" w:hAnsi="Nexa XBold" w:cs="Nexa XBold"/>
        </w:rPr>
        <w:t>multimillonaria</w:t>
      </w:r>
      <w:r>
        <w:rPr>
          <w:rFonts w:ascii="Nexa XBold" w:eastAsia="Nexa XBold" w:hAnsi="Nexa XBold" w:cs="Nexa XBold"/>
          <w:color w:val="000000"/>
        </w:rPr>
        <w:t xml:space="preserve"> no tiene precedentes</w:t>
      </w:r>
      <w:r>
        <w:rPr>
          <w:rFonts w:ascii="Nexa XBold" w:eastAsia="Nexa XBold" w:hAnsi="Nexa XBold" w:cs="Nexa XBold"/>
        </w:rPr>
        <w:t>”</w:t>
      </w:r>
      <w:r>
        <w:rPr>
          <w:rFonts w:ascii="Nexa XBold" w:eastAsia="Nexa XBold" w:hAnsi="Nexa XBold" w:cs="Nexa XBold"/>
          <w:color w:val="000000"/>
        </w:rPr>
        <w:t>.</w:t>
      </w:r>
    </w:p>
    <w:p w14:paraId="6DD74656" w14:textId="77777777" w:rsidR="00324405" w:rsidRDefault="00324405">
      <w:pPr>
        <w:spacing w:after="0" w:line="276" w:lineRule="auto"/>
        <w:jc w:val="both"/>
        <w:rPr>
          <w:rFonts w:ascii="Nexa XBold" w:eastAsia="Nexa XBold" w:hAnsi="Nexa XBold" w:cs="Nexa XBold"/>
          <w:color w:val="000000"/>
        </w:rPr>
      </w:pPr>
    </w:p>
    <w:p w14:paraId="76B24335"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color w:val="000000"/>
        </w:rPr>
        <w:t xml:space="preserve">La llegada de los nuevos aviones, además de la mejora que </w:t>
      </w:r>
      <w:r>
        <w:rPr>
          <w:rFonts w:ascii="Nexa XBold" w:eastAsia="Nexa XBold" w:hAnsi="Nexa XBold" w:cs="Nexa XBold"/>
        </w:rPr>
        <w:t>implica</w:t>
      </w:r>
      <w:r>
        <w:rPr>
          <w:rFonts w:ascii="Nexa XBold" w:eastAsia="Nexa XBold" w:hAnsi="Nexa XBold" w:cs="Nexa XBold"/>
          <w:color w:val="000000"/>
        </w:rPr>
        <w:t xml:space="preserve"> para quienes viven cerca de los aeropuertos, </w:t>
      </w:r>
      <w:r>
        <w:rPr>
          <w:rFonts w:ascii="Nexa XBold" w:eastAsia="Nexa XBold" w:hAnsi="Nexa XBold" w:cs="Nexa XBold"/>
        </w:rPr>
        <w:t xml:space="preserve">proporciona </w:t>
      </w:r>
      <w:r>
        <w:rPr>
          <w:rFonts w:ascii="Nexa XBold" w:eastAsia="Nexa XBold" w:hAnsi="Nexa XBold" w:cs="Nexa XBold"/>
          <w:b/>
        </w:rPr>
        <w:t>mayor</w:t>
      </w:r>
      <w:r>
        <w:rPr>
          <w:rFonts w:ascii="Nexa XBold" w:eastAsia="Nexa XBold" w:hAnsi="Nexa XBold" w:cs="Nexa XBold"/>
          <w:b/>
          <w:color w:val="000000"/>
        </w:rPr>
        <w:t xml:space="preserve"> comodidad para los pasajeros</w:t>
      </w:r>
      <w:r>
        <w:rPr>
          <w:rFonts w:ascii="Nexa XBold" w:eastAsia="Nexa XBold" w:hAnsi="Nexa XBold" w:cs="Nexa XBold"/>
          <w:color w:val="000000"/>
        </w:rPr>
        <w:t>. En la cabina hay espacio para hasta 232 pasajeros, mientras que en el actual Boeing 737-800 hay 189. La mayor anchura de la cabina da una sensación de espacio extra, y los maleteros más grandes y con mejor acceso facilitan la colocación del equipaje de mano. Además, todos los asientos disponen de puertos USB C para cargar dispositivos móviles.</w:t>
      </w:r>
    </w:p>
    <w:p w14:paraId="2FC92CBC" w14:textId="77777777" w:rsidR="00324405" w:rsidRDefault="00324405">
      <w:pPr>
        <w:spacing w:after="0" w:line="276" w:lineRule="auto"/>
        <w:jc w:val="both"/>
        <w:rPr>
          <w:rFonts w:ascii="Nexa XBold" w:eastAsia="Nexa XBold" w:hAnsi="Nexa XBold" w:cs="Nexa XBold"/>
        </w:rPr>
      </w:pPr>
    </w:p>
    <w:p w14:paraId="53C5F21A" w14:textId="77777777" w:rsidR="00324405" w:rsidRDefault="00000000">
      <w:pPr>
        <w:spacing w:after="0" w:line="276" w:lineRule="auto"/>
        <w:jc w:val="both"/>
        <w:rPr>
          <w:rFonts w:ascii="Nexa XBold" w:eastAsia="Nexa XBold" w:hAnsi="Nexa XBold" w:cs="Nexa XBold"/>
          <w:color w:val="000000"/>
        </w:rPr>
      </w:pPr>
      <w:r>
        <w:rPr>
          <w:rFonts w:ascii="Nexa XBold" w:eastAsia="Nexa XBold" w:hAnsi="Nexa XBold" w:cs="Nexa XBold"/>
          <w:color w:val="000000"/>
        </w:rPr>
        <w:t xml:space="preserve">A finales de 2021, el grupo Air France-KLM hizo un </w:t>
      </w:r>
      <w:r>
        <w:rPr>
          <w:rFonts w:ascii="Nexa XBold" w:eastAsia="Nexa XBold" w:hAnsi="Nexa XBold" w:cs="Nexa XBold"/>
          <w:b/>
          <w:color w:val="000000"/>
        </w:rPr>
        <w:t>pedido de 100 aviones de la familia Airbus A320neo,</w:t>
      </w:r>
      <w:r>
        <w:rPr>
          <w:rFonts w:ascii="Nexa XBold" w:eastAsia="Nexa XBold" w:hAnsi="Nexa XBold" w:cs="Nexa XBold"/>
          <w:color w:val="000000"/>
        </w:rPr>
        <w:t xml:space="preserve"> con la opción de comprar 60 aviones adicionales. Este pedido está destinado a renovar y ampliar la flota de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w:t>
      </w:r>
      <w:r>
        <w:rPr>
          <w:rFonts w:ascii="Nexa XBold" w:eastAsia="Nexa XBold" w:hAnsi="Nexa XBold" w:cs="Nexa XBold"/>
        </w:rPr>
        <w:t>Holanda</w:t>
      </w:r>
      <w:r>
        <w:rPr>
          <w:rFonts w:ascii="Nexa XBold" w:eastAsia="Nexa XBold" w:hAnsi="Nexa XBold" w:cs="Nexa XBold"/>
          <w:color w:val="000000"/>
        </w:rPr>
        <w:t xml:space="preserve">, </w:t>
      </w:r>
      <w:proofErr w:type="spellStart"/>
      <w:r>
        <w:rPr>
          <w:rFonts w:ascii="Nexa XBold" w:eastAsia="Nexa XBold" w:hAnsi="Nexa XBold" w:cs="Nexa XBold"/>
          <w:color w:val="000000"/>
        </w:rPr>
        <w:t>Transavia</w:t>
      </w:r>
      <w:proofErr w:type="spellEnd"/>
      <w:r>
        <w:rPr>
          <w:rFonts w:ascii="Nexa XBold" w:eastAsia="Nexa XBold" w:hAnsi="Nexa XBold" w:cs="Nexa XBold"/>
          <w:color w:val="000000"/>
        </w:rPr>
        <w:t xml:space="preserve"> </w:t>
      </w:r>
      <w:r>
        <w:rPr>
          <w:rFonts w:ascii="Nexa XBold" w:eastAsia="Nexa XBold" w:hAnsi="Nexa XBold" w:cs="Nexa XBold"/>
        </w:rPr>
        <w:t>France</w:t>
      </w:r>
      <w:r>
        <w:rPr>
          <w:rFonts w:ascii="Nexa XBold" w:eastAsia="Nexa XBold" w:hAnsi="Nexa XBold" w:cs="Nexa XBold"/>
          <w:color w:val="000000"/>
        </w:rPr>
        <w:t xml:space="preserve"> y KLM. El pedido incluye aviones Airbus A320neo y Airbus A321neo.</w:t>
      </w:r>
    </w:p>
    <w:p w14:paraId="6BE5A60F" w14:textId="77777777" w:rsidR="00324405" w:rsidRDefault="00324405">
      <w:pPr>
        <w:spacing w:after="0" w:line="276" w:lineRule="auto"/>
        <w:jc w:val="both"/>
        <w:rPr>
          <w:rFonts w:ascii="Nexa XBold" w:eastAsia="Nexa XBold" w:hAnsi="Nexa XBold" w:cs="Nexa XBold"/>
        </w:rPr>
      </w:pPr>
    </w:p>
    <w:p w14:paraId="64208CC0" w14:textId="77777777" w:rsidR="00324405" w:rsidRDefault="00000000">
      <w:pPr>
        <w:spacing w:after="0" w:line="240" w:lineRule="auto"/>
        <w:jc w:val="center"/>
        <w:rPr>
          <w:rFonts w:ascii="Nexa Book" w:eastAsia="Nexa Book" w:hAnsi="Nexa Book" w:cs="Nexa Book"/>
          <w:sz w:val="18"/>
          <w:szCs w:val="18"/>
          <w:u w:val="single"/>
        </w:rPr>
      </w:pPr>
      <w:r>
        <w:rPr>
          <w:rFonts w:ascii="Nexa Book" w:eastAsia="Nexa Book" w:hAnsi="Nexa Book" w:cs="Nexa Book"/>
          <w:sz w:val="18"/>
          <w:szCs w:val="18"/>
        </w:rPr>
        <w:t xml:space="preserve">Para más información, visite: </w:t>
      </w:r>
      <w:hyperlink r:id="rId7">
        <w:r>
          <w:rPr>
            <w:rFonts w:ascii="Nexa Book" w:eastAsia="Nexa Book" w:hAnsi="Nexa Book" w:cs="Nexa Book"/>
            <w:color w:val="1155CC"/>
            <w:sz w:val="18"/>
            <w:szCs w:val="18"/>
            <w:u w:val="single"/>
          </w:rPr>
          <w:t>www.transavia.com</w:t>
        </w:r>
      </w:hyperlink>
      <w:r>
        <w:rPr>
          <w:rFonts w:ascii="Nexa Book" w:eastAsia="Nexa Book" w:hAnsi="Nexa Book" w:cs="Nexa Book"/>
          <w:sz w:val="18"/>
          <w:szCs w:val="18"/>
          <w:u w:val="single"/>
        </w:rPr>
        <w:t xml:space="preserve"> </w:t>
      </w:r>
    </w:p>
    <w:p w14:paraId="4FC492F7" w14:textId="77777777" w:rsidR="00324405" w:rsidRDefault="00324405">
      <w:pPr>
        <w:spacing w:after="0" w:line="240" w:lineRule="auto"/>
        <w:jc w:val="center"/>
        <w:rPr>
          <w:rFonts w:ascii="Nexa Book" w:eastAsia="Nexa Book" w:hAnsi="Nexa Book" w:cs="Nexa Book"/>
          <w:sz w:val="24"/>
          <w:szCs w:val="24"/>
        </w:rPr>
      </w:pPr>
    </w:p>
    <w:p w14:paraId="4346F92E" w14:textId="77777777" w:rsidR="00324405" w:rsidRDefault="00324405">
      <w:pPr>
        <w:spacing w:after="0" w:line="240" w:lineRule="auto"/>
        <w:rPr>
          <w:rFonts w:ascii="Nexa Book" w:eastAsia="Nexa Book" w:hAnsi="Nexa Book" w:cs="Nexa Book"/>
          <w:sz w:val="24"/>
          <w:szCs w:val="24"/>
        </w:rPr>
      </w:pPr>
    </w:p>
    <w:p w14:paraId="14D21F53" w14:textId="77777777" w:rsidR="00324405" w:rsidRDefault="00000000">
      <w:pPr>
        <w:spacing w:after="0" w:line="240" w:lineRule="auto"/>
        <w:jc w:val="center"/>
        <w:rPr>
          <w:rFonts w:ascii="Nexa Book" w:eastAsia="Nexa Book" w:hAnsi="Nexa Book" w:cs="Nexa Book"/>
          <w:sz w:val="24"/>
          <w:szCs w:val="24"/>
        </w:rPr>
      </w:pPr>
      <w:r>
        <w:rPr>
          <w:rFonts w:ascii="Nexa Book" w:eastAsia="Nexa Book" w:hAnsi="Nexa Book" w:cs="Nexa Book"/>
          <w:noProof/>
          <w:sz w:val="24"/>
          <w:szCs w:val="24"/>
        </w:rPr>
        <mc:AlternateContent>
          <mc:Choice Requires="wpg">
            <w:drawing>
              <wp:inline distT="0" distB="0" distL="0" distR="0" wp14:anchorId="2ADC720B" wp14:editId="660FC6FE">
                <wp:extent cx="1351199" cy="261528"/>
                <wp:effectExtent l="0" t="0" r="0" b="0"/>
                <wp:docPr id="1073741855" name="Grupo 1073741855" descr="Grouper 9"/>
                <wp:cNvGraphicFramePr/>
                <a:graphic xmlns:a="http://schemas.openxmlformats.org/drawingml/2006/main">
                  <a:graphicData uri="http://schemas.microsoft.com/office/word/2010/wordprocessingGroup">
                    <wpg:wgp>
                      <wpg:cNvGrpSpPr/>
                      <wpg:grpSpPr>
                        <a:xfrm>
                          <a:off x="0" y="0"/>
                          <a:ext cx="1351199" cy="261528"/>
                          <a:chOff x="4670400" y="3649225"/>
                          <a:chExt cx="1351225" cy="261550"/>
                        </a:xfrm>
                      </wpg:grpSpPr>
                      <wpg:grpSp>
                        <wpg:cNvPr id="343101583" name="Grupo 343101583"/>
                        <wpg:cNvGrpSpPr/>
                        <wpg:grpSpPr>
                          <a:xfrm>
                            <a:off x="4670401" y="3649235"/>
                            <a:ext cx="1351200" cy="261530"/>
                            <a:chOff x="0" y="-1"/>
                            <a:chExt cx="1351199" cy="261529"/>
                          </a:xfrm>
                        </wpg:grpSpPr>
                        <wps:wsp>
                          <wps:cNvPr id="2114811624" name="Rectángulo 2114811624"/>
                          <wps:cNvSpPr/>
                          <wps:spPr>
                            <a:xfrm>
                              <a:off x="0" y="0"/>
                              <a:ext cx="1351175" cy="261525"/>
                            </a:xfrm>
                            <a:prstGeom prst="rect">
                              <a:avLst/>
                            </a:prstGeom>
                            <a:noFill/>
                            <a:ln>
                              <a:noFill/>
                            </a:ln>
                          </wps:spPr>
                          <wps:txbx>
                            <w:txbxContent>
                              <w:p w14:paraId="0EB9CCBE" w14:textId="77777777" w:rsidR="00324405" w:rsidRDefault="0032440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descr="Image 8"/>
                            <pic:cNvPicPr preferRelativeResize="0"/>
                          </pic:nvPicPr>
                          <pic:blipFill rotWithShape="1">
                            <a:blip r:embed="rId8">
                              <a:alphaModFix/>
                            </a:blip>
                            <a:srcRect/>
                            <a:stretch/>
                          </pic:blipFill>
                          <pic:spPr>
                            <a:xfrm>
                              <a:off x="1094811" y="3426"/>
                              <a:ext cx="256388" cy="255246"/>
                            </a:xfrm>
                            <a:prstGeom prst="rect">
                              <a:avLst/>
                            </a:prstGeom>
                            <a:noFill/>
                            <a:ln>
                              <a:noFill/>
                            </a:ln>
                          </pic:spPr>
                        </pic:pic>
                        <pic:pic xmlns:pic="http://schemas.openxmlformats.org/drawingml/2006/picture">
                          <pic:nvPicPr>
                            <pic:cNvPr id="5" name="Shape 5" descr="Image 9"/>
                            <pic:cNvPicPr preferRelativeResize="0"/>
                          </pic:nvPicPr>
                          <pic:blipFill rotWithShape="1">
                            <a:blip r:embed="rId9">
                              <a:alphaModFix/>
                            </a:blip>
                            <a:srcRect/>
                            <a:stretch/>
                          </pic:blipFill>
                          <pic:spPr>
                            <a:xfrm>
                              <a:off x="821394" y="-1"/>
                              <a:ext cx="258673" cy="258673"/>
                            </a:xfrm>
                            <a:prstGeom prst="rect">
                              <a:avLst/>
                            </a:prstGeom>
                            <a:noFill/>
                            <a:ln>
                              <a:noFill/>
                            </a:ln>
                          </pic:spPr>
                        </pic:pic>
                        <pic:pic xmlns:pic="http://schemas.openxmlformats.org/drawingml/2006/picture">
                          <pic:nvPicPr>
                            <pic:cNvPr id="6" name="Shape 6" descr="Image 18"/>
                            <pic:cNvPicPr preferRelativeResize="0"/>
                          </pic:nvPicPr>
                          <pic:blipFill rotWithShape="1">
                            <a:blip r:embed="rId10">
                              <a:alphaModFix/>
                            </a:blip>
                            <a:srcRect/>
                            <a:stretch/>
                          </pic:blipFill>
                          <pic:spPr>
                            <a:xfrm>
                              <a:off x="548547" y="-1"/>
                              <a:ext cx="258102" cy="254676"/>
                            </a:xfrm>
                            <a:prstGeom prst="rect">
                              <a:avLst/>
                            </a:prstGeom>
                            <a:noFill/>
                            <a:ln>
                              <a:noFill/>
                            </a:ln>
                          </pic:spPr>
                        </pic:pic>
                        <pic:pic xmlns:pic="http://schemas.openxmlformats.org/drawingml/2006/picture">
                          <pic:nvPicPr>
                            <pic:cNvPr id="7" name="Shape 7" descr="Image 19"/>
                            <pic:cNvPicPr preferRelativeResize="0"/>
                          </pic:nvPicPr>
                          <pic:blipFill rotWithShape="1">
                            <a:blip r:embed="rId11">
                              <a:alphaModFix/>
                            </a:blip>
                            <a:srcRect/>
                            <a:stretch/>
                          </pic:blipFill>
                          <pic:spPr>
                            <a:xfrm>
                              <a:off x="275700" y="3426"/>
                              <a:ext cx="258102" cy="258102"/>
                            </a:xfrm>
                            <a:prstGeom prst="rect">
                              <a:avLst/>
                            </a:prstGeom>
                            <a:noFill/>
                            <a:ln>
                              <a:noFill/>
                            </a:ln>
                          </pic:spPr>
                        </pic:pic>
                        <pic:pic xmlns:pic="http://schemas.openxmlformats.org/drawingml/2006/picture">
                          <pic:nvPicPr>
                            <pic:cNvPr id="8" name="Shape 8" descr="Image 20"/>
                            <pic:cNvPicPr preferRelativeResize="0"/>
                          </pic:nvPicPr>
                          <pic:blipFill rotWithShape="1">
                            <a:blip r:embed="rId12">
                              <a:alphaModFix/>
                            </a:blip>
                            <a:srcRect/>
                            <a:stretch/>
                          </pic:blipFill>
                          <pic:spPr>
                            <a:xfrm>
                              <a:off x="0" y="3997"/>
                              <a:ext cx="260957" cy="257531"/>
                            </a:xfrm>
                            <a:prstGeom prst="rect">
                              <a:avLst/>
                            </a:prstGeom>
                            <a:noFill/>
                            <a:ln>
                              <a:noFill/>
                            </a:ln>
                          </pic:spPr>
                        </pic:pic>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351199" cy="261528"/>
                <wp:effectExtent b="0" l="0" r="0" t="0"/>
                <wp:docPr descr="Grouper 9" id="1073741855" name="image3.png"/>
                <a:graphic>
                  <a:graphicData uri="http://schemas.openxmlformats.org/drawingml/2006/picture">
                    <pic:pic>
                      <pic:nvPicPr>
                        <pic:cNvPr descr="Grouper 9" id="0" name="image3.png"/>
                        <pic:cNvPicPr preferRelativeResize="0"/>
                      </pic:nvPicPr>
                      <pic:blipFill>
                        <a:blip r:embed="rId15"/>
                        <a:srcRect/>
                        <a:stretch>
                          <a:fillRect/>
                        </a:stretch>
                      </pic:blipFill>
                      <pic:spPr>
                        <a:xfrm>
                          <a:off x="0" y="0"/>
                          <a:ext cx="1351199" cy="261528"/>
                        </a:xfrm>
                        <a:prstGeom prst="rect"/>
                        <a:ln/>
                      </pic:spPr>
                    </pic:pic>
                  </a:graphicData>
                </a:graphic>
              </wp:inline>
            </w:drawing>
          </mc:Fallback>
        </mc:AlternateContent>
      </w:r>
    </w:p>
    <w:p w14:paraId="5C085CD0" w14:textId="77777777" w:rsidR="00324405" w:rsidRDefault="00324405">
      <w:pPr>
        <w:spacing w:after="0" w:line="276" w:lineRule="auto"/>
        <w:jc w:val="both"/>
        <w:rPr>
          <w:rFonts w:ascii="Verdana" w:eastAsia="Verdana" w:hAnsi="Verdana" w:cs="Verdana"/>
          <w:b/>
        </w:rPr>
      </w:pPr>
    </w:p>
    <w:p w14:paraId="47DD711A" w14:textId="77777777" w:rsidR="00324405" w:rsidRDefault="00324405">
      <w:pPr>
        <w:spacing w:after="0" w:line="240" w:lineRule="auto"/>
        <w:jc w:val="both"/>
      </w:pPr>
    </w:p>
    <w:p w14:paraId="1548CE9C" w14:textId="77777777" w:rsidR="00324405" w:rsidRDefault="00000000">
      <w:pPr>
        <w:spacing w:after="0" w:line="240" w:lineRule="auto"/>
        <w:jc w:val="both"/>
        <w:rPr>
          <w:b/>
        </w:rPr>
      </w:pPr>
      <w:r>
        <w:rPr>
          <w:b/>
        </w:rPr>
        <w:t xml:space="preserve">Acerca de </w:t>
      </w:r>
      <w:proofErr w:type="spellStart"/>
      <w:r>
        <w:rPr>
          <w:b/>
        </w:rPr>
        <w:t>Transavia</w:t>
      </w:r>
      <w:proofErr w:type="spellEnd"/>
      <w:r>
        <w:rPr>
          <w:b/>
        </w:rPr>
        <w:t xml:space="preserve"> </w:t>
      </w:r>
    </w:p>
    <w:p w14:paraId="252AFA2F" w14:textId="77777777" w:rsidR="00324405" w:rsidRDefault="00324405">
      <w:pPr>
        <w:spacing w:after="0" w:line="240" w:lineRule="auto"/>
        <w:jc w:val="both"/>
      </w:pPr>
    </w:p>
    <w:p w14:paraId="7CCCA9CC" w14:textId="77777777" w:rsidR="00324405" w:rsidRDefault="00000000">
      <w:pPr>
        <w:spacing w:after="0" w:line="240" w:lineRule="auto"/>
        <w:jc w:val="both"/>
      </w:pPr>
      <w:proofErr w:type="spellStart"/>
      <w:r>
        <w:t>Transavia</w:t>
      </w:r>
      <w:proofErr w:type="spellEnd"/>
      <w:r>
        <w:t xml:space="preserve">, la aerolínea de bajo coste del grupo Air France-KLM, opera más de 200 rutas aéreas con salidas desde Francia (París, Nantes, Lyon y Montpellier), los Países Bajos (Ámsterdam, Róterdam y Eindhoven) y Bélgica (Bruselas) hacia Europa y la cuenca mediterránea. En 2022, </w:t>
      </w:r>
      <w:proofErr w:type="spellStart"/>
      <w:r>
        <w:t>Transavia</w:t>
      </w:r>
      <w:proofErr w:type="spellEnd"/>
      <w:r>
        <w:t xml:space="preserve"> France transportó casi 10,7 millones de pasajeros. </w:t>
      </w:r>
      <w:proofErr w:type="spellStart"/>
      <w:r>
        <w:t>Transavia</w:t>
      </w:r>
      <w:proofErr w:type="spellEnd"/>
      <w:r>
        <w:t xml:space="preserve"> France es hoy la primera aerolínea de bajo coste de París (</w:t>
      </w:r>
      <w:proofErr w:type="spellStart"/>
      <w:r>
        <w:t>Beauvais</w:t>
      </w:r>
      <w:proofErr w:type="spellEnd"/>
      <w:r>
        <w:t xml:space="preserve">, CDG, Orly). Con más de 2300 empleados en Francia, </w:t>
      </w:r>
      <w:proofErr w:type="spellStart"/>
      <w:r>
        <w:t>Transavia</w:t>
      </w:r>
      <w:proofErr w:type="spellEnd"/>
      <w:r>
        <w:t xml:space="preserve"> tiene en el centro de sus compromisos la calidad de sus servicios, la proximidad de sus tripulaciones y la innovación. Esta postura la ha llevado a ser galardonada regularmente. En la clasificación </w:t>
      </w:r>
      <w:proofErr w:type="spellStart"/>
      <w:r>
        <w:t>Skytrax</w:t>
      </w:r>
      <w:proofErr w:type="spellEnd"/>
      <w:r>
        <w:t xml:space="preserve"> - </w:t>
      </w:r>
      <w:proofErr w:type="spellStart"/>
      <w:r>
        <w:t>Best</w:t>
      </w:r>
      <w:proofErr w:type="spellEnd"/>
      <w:r>
        <w:t xml:space="preserve"> Low </w:t>
      </w:r>
      <w:proofErr w:type="spellStart"/>
      <w:r>
        <w:t>Cost</w:t>
      </w:r>
      <w:proofErr w:type="spellEnd"/>
      <w:r>
        <w:t xml:space="preserve"> </w:t>
      </w:r>
      <w:proofErr w:type="spellStart"/>
      <w:r>
        <w:t>Airline</w:t>
      </w:r>
      <w:proofErr w:type="spellEnd"/>
      <w:r>
        <w:t xml:space="preserve"> 2023, </w:t>
      </w:r>
      <w:proofErr w:type="spellStart"/>
      <w:r>
        <w:t>Transavia</w:t>
      </w:r>
      <w:proofErr w:type="spellEnd"/>
      <w:r>
        <w:t xml:space="preserve"> es la 2.ª mejor Low </w:t>
      </w:r>
      <w:proofErr w:type="spellStart"/>
      <w:r>
        <w:t>Cost</w:t>
      </w:r>
      <w:proofErr w:type="spellEnd"/>
      <w:r>
        <w:t xml:space="preserve"> europea, 6.ª mundial. Por cuarta vez, </w:t>
      </w:r>
      <w:proofErr w:type="spellStart"/>
      <w:r>
        <w:t>Transavia</w:t>
      </w:r>
      <w:proofErr w:type="spellEnd"/>
      <w:r>
        <w:t xml:space="preserve"> Francia fue elegida "Servicio al Cliente del Año 2024" en la categoría de Transporte Colectivo de Pasajeros (ESCDA) y obtuvo, por sexto año consecutivo, la etiqueta Capital "Mejor Insignia" en la categoría de Transporte, otorgada por la revista Capital. La compañía también ha recibido el trofeo </w:t>
      </w:r>
      <w:proofErr w:type="spellStart"/>
      <w:r>
        <w:t>Qualiweb</w:t>
      </w:r>
      <w:proofErr w:type="spellEnd"/>
      <w:r>
        <w:t xml:space="preserve"> 2019 por la calidad de su servicio online en la categoría de Turismo y Transporte. Por último, </w:t>
      </w:r>
      <w:proofErr w:type="spellStart"/>
      <w:r>
        <w:t>Skyscanner</w:t>
      </w:r>
      <w:proofErr w:type="spellEnd"/>
      <w:r>
        <w:t xml:space="preserve"> ha otorgado a la aerolínea el premio '</w:t>
      </w:r>
      <w:proofErr w:type="spellStart"/>
      <w:r>
        <w:t>Traveller</w:t>
      </w:r>
      <w:proofErr w:type="spellEnd"/>
      <w:r>
        <w:t xml:space="preserve"> Trust </w:t>
      </w:r>
      <w:proofErr w:type="spellStart"/>
      <w:r>
        <w:t>Award</w:t>
      </w:r>
      <w:proofErr w:type="spellEnd"/>
      <w:r>
        <w:t xml:space="preserve">' a las mejores experiencias en reservas. </w:t>
      </w:r>
    </w:p>
    <w:p w14:paraId="529AF750" w14:textId="77777777" w:rsidR="00324405" w:rsidRDefault="00324405">
      <w:pPr>
        <w:spacing w:after="0" w:line="240" w:lineRule="auto"/>
        <w:jc w:val="both"/>
      </w:pPr>
    </w:p>
    <w:p w14:paraId="1E0E89D0" w14:textId="77777777" w:rsidR="00324405" w:rsidRDefault="00324405">
      <w:pPr>
        <w:spacing w:after="0" w:line="276" w:lineRule="auto"/>
        <w:jc w:val="both"/>
        <w:rPr>
          <w:rFonts w:ascii="Nexa XBold" w:eastAsia="Nexa XBold" w:hAnsi="Nexa XBold" w:cs="Nexa XBold"/>
        </w:rPr>
      </w:pPr>
    </w:p>
    <w:sectPr w:rsidR="0032440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Nexa XBold">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Nexa Book">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05"/>
    <w:rsid w:val="001E2B66"/>
    <w:rsid w:val="00324405"/>
    <w:rsid w:val="004C62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B653"/>
  <w15:docId w15:val="{7B878C2E-8208-4860-A454-C72550A5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20"/>
    <w:pPr>
      <w:suppressAutoHyphens/>
      <w:autoSpaceDN w:val="0"/>
    </w:pPr>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rsid w:val="00A32620"/>
    <w:pPr>
      <w:ind w:left="720"/>
      <w:contextualSpacing/>
    </w:pPr>
  </w:style>
  <w:style w:type="paragraph" w:customStyle="1" w:styleId="Corps">
    <w:name w:val="Corps"/>
    <w:rsid w:val="00A32620"/>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eastAsia="fr-FR"/>
      <w14:textOutline w14:w="0" w14:cap="flat" w14:cmpd="sng" w14:algn="ctr">
        <w14:noFill/>
        <w14:prstDash w14:val="solid"/>
        <w14:bevel/>
      </w14:textOutline>
    </w:rPr>
  </w:style>
  <w:style w:type="character" w:customStyle="1" w:styleId="Aucun">
    <w:name w:val="Aucun"/>
    <w:rsid w:val="00A32620"/>
  </w:style>
  <w:style w:type="character" w:customStyle="1" w:styleId="normaltextrun">
    <w:name w:val="normaltextrun"/>
    <w:basedOn w:val="Fuentedeprrafopredeter"/>
    <w:rsid w:val="00A32620"/>
  </w:style>
  <w:style w:type="character" w:styleId="Hipervnculo">
    <w:name w:val="Hyperlink"/>
    <w:basedOn w:val="Fuentedeprrafopredeter"/>
    <w:uiPriority w:val="99"/>
    <w:unhideWhenUsed/>
    <w:rsid w:val="00A32620"/>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transavia.com" TargetMode="Externa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image" Target="media/image3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YG3ms7VJkepTBaXyb7dhKC20MQ==">CgMxLjA4AGoiChRzdWdnZXN0LjZ5ZjNxdmplbDlodRIKQW5hIExsb3ZldGomChRzdWdnZXN0LmF5Y255Mm00bTI4NhIOQW5kcmVhIFJlYm9sbG9qJgoUc3VnZ2VzdC44NnN3ZzAzdWJjMW0SDkFuZHJlYSBSZWJvbGxvaiIKFHN1Z2dlc3QudW1idml2ODJiZThvEgpBbmEgTGxvdmV0aiIKFHN1Z2dlc3Qub3RvcnVnOHg4OXVlEgpBbmEgTGxvdmV0aiYKFHN1Z2dlc3QuMTM4ajY3azJicXl3Eg5BbmRyZWEgUmVib2xsb2oiChRzdWdnZXN0LmllMzRrOXFnMmM5eRIKQW5hIExsb3ZldGoiChRzdWdnZXN0LmlqYnFldjRnZDdxNBIKQW5hIExsb3ZldGoiChRzdWdnZXN0LmV4Y240b21qNDRuORIKQW5hIExsb3ZldHIhMUVjaVdlSVR4dWk5Q3AtRjltWU9kbEFIUWNSTm1kRT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3873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Sergat</dc:creator>
  <cp:lastModifiedBy>Elisenda Barreda</cp:lastModifiedBy>
  <cp:revision>2</cp:revision>
  <dcterms:created xsi:type="dcterms:W3CDTF">2024-05-07T11:04:00Z</dcterms:created>
  <dcterms:modified xsi:type="dcterms:W3CDTF">2024-05-13T12:42:00Z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0x010100D06B3BF8CC39DB4B91CC7C9745306AEA</vt:lpwstr>
  </property>
  <property fmtid="{D5CDD505-2E9C-101B-9397-08002B2CF9AE}" pid="3" name="MediaServiceImageTags">
    <vt:lpwstr/>
  </property>
</Properties>
</file>