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1D00B" w14:textId="77777777" w:rsidR="00BF3A82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>Contacto:</w:t>
      </w:r>
    </w:p>
    <w:p w14:paraId="08B6F95C" w14:textId="77777777" w:rsidR="00BF3A82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EMIRATES </w:t>
      </w:r>
    </w:p>
    <w:p w14:paraId="6E88FD36" w14:textId="77777777" w:rsidR="00BF3A82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Sergat </w:t>
      </w:r>
    </w:p>
    <w:p w14:paraId="1866E2B3" w14:textId="77777777" w:rsidR="00BF3A82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>Teléfono: 93 414 02 10</w:t>
      </w:r>
    </w:p>
    <w:p w14:paraId="3E13BE06" w14:textId="77777777" w:rsidR="00BF3A82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mbria" w:eastAsia="Cambria" w:hAnsi="Cambria" w:cs="Cambria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Correo electrónico: </w:t>
      </w:r>
      <w:r>
        <w:rPr>
          <w:rFonts w:ascii="Century Gothic" w:eastAsia="Century Gothic" w:hAnsi="Century Gothic" w:cs="Century Gothic"/>
          <w:color w:val="0000FF"/>
          <w:sz w:val="18"/>
          <w:szCs w:val="18"/>
        </w:rPr>
        <w:t xml:space="preserve">prensa@sergat.com   </w:t>
      </w:r>
    </w:p>
    <w:p w14:paraId="166DD395" w14:textId="77777777" w:rsidR="00BF3A82" w:rsidRDefault="00BF3A8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mbria" w:eastAsia="Cambria" w:hAnsi="Cambria" w:cs="Cambria"/>
        </w:rPr>
      </w:pPr>
    </w:p>
    <w:p w14:paraId="0E5AC815" w14:textId="77777777" w:rsidR="00BF3A82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Century Gothic" w:eastAsia="Century Gothic" w:hAnsi="Century Gothic" w:cs="Century Gothic"/>
          <w:b/>
          <w:i/>
        </w:rPr>
      </w:pPr>
      <w:r>
        <w:rPr>
          <w:rFonts w:ascii="Century Gothic" w:eastAsia="Century Gothic" w:hAnsi="Century Gothic" w:cs="Century Gothic"/>
          <w:b/>
        </w:rPr>
        <w:t>Emirates Group lanza una campaña masiva de captación de talento para impulsar su próxima era de innovación y expansión</w:t>
      </w:r>
    </w:p>
    <w:p w14:paraId="4BBA9602" w14:textId="77777777" w:rsidR="00BF3A82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b/>
          <w:sz w:val="22"/>
          <w:szCs w:val="22"/>
        </w:rPr>
        <w:t xml:space="preserve">Dubái, EAU, 22 de julio de 2025: </w:t>
      </w:r>
      <w:r>
        <w:rPr>
          <w:rFonts w:ascii="Century Gothic" w:eastAsia="Century Gothic" w:hAnsi="Century Gothic" w:cs="Century Gothic"/>
          <w:sz w:val="22"/>
          <w:szCs w:val="22"/>
        </w:rPr>
        <w:t>Emirates Group ha puesto en marcha una campaña global de búsqueda y adquisición de talento. Este año fiscal, la potencia de la aviación busca incorporar a 17.300 personas, equivalentes a una ciudad mediana o a la capacidad de 58 Airbus A350, en 350 puestos.</w:t>
      </w:r>
    </w:p>
    <w:p w14:paraId="5019B666" w14:textId="77777777" w:rsidR="00BF3A82" w:rsidRDefault="00000000">
      <w:pP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Estos puestos abarcan todas las facetas, funciones y operaciones de Emirates, la aerolínea internacional más grande y rentable del mundo, y dnata, proveedor líder mundial de servicios aéreos y de viajes. Se requieren cientos de nuevas incorporaciones para puestos como tripulantes de cabina, pilotos, ingenieros, equipos comerciales y de ventas, atención al cliente, asistencia en tierra, catering, TI, RR. HH. y finanzas. dnata, por su parte, busca contratar a más de 4000 especialistas en carga, catering y asistencia en tierra.</w:t>
      </w:r>
    </w:p>
    <w:p w14:paraId="05774192" w14:textId="77777777" w:rsidR="00BF3A82" w:rsidRDefault="00000000">
      <w:pP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Su Alteza el Jeque Ahmed bin Saeed Al Maktoum, presidente y director ejecutivo de Emirates Airline &amp; Group, ha declarado: “La estrategia de recursos humanos de Emirates Group se basa en la Agenda Económica D33 de Dubái y en nuestras propias proyecciones de crecimiento y expansión. Buscamos talento de primer nivel para impulsar nuestra ambición, redefinir el futuro de la aviación y mantener nuestro compromiso y cultura de innovación y excelencia. Esta es una oportunidad para que profesionales cualificados y con talento desempeñen un papel clave en nuestro futuro, nuestra estrategia y nuestra trayectoria de crecimiento”.</w:t>
      </w:r>
    </w:p>
    <w:p w14:paraId="4B1B41B3" w14:textId="77777777" w:rsidR="00BF3A82" w:rsidRDefault="00000000">
      <w:pP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A lo largo del año, el grupo organizará más de 2100 jornadas de puertas abiertas y otros eventos de captación de talento en 150 ciudades para reclutar a los mejores pilotos, </w:t>
      </w:r>
      <w:r>
        <w:rPr>
          <w:rFonts w:ascii="Century Gothic" w:eastAsia="Century Gothic" w:hAnsi="Century Gothic" w:cs="Century Gothic"/>
          <w:sz w:val="22"/>
          <w:szCs w:val="22"/>
        </w:rPr>
        <w:lastRenderedPageBreak/>
        <w:t>profesionales de TI, ingenieros y profesionales del talento para puestos de tripulación de cabina. Esto también incluye eventos en Dubái con estudiantes y graduados emiratíes. Para quienes deseen unirse al grupo, es una valiosa oportunidad de conocer a reclutadores experimentados y, en ocasiones, a empleados apasionados y con una larga trayectoria en estos puestos.</w:t>
      </w:r>
    </w:p>
    <w:p w14:paraId="6FB44AB0" w14:textId="77777777" w:rsidR="00BF3A82" w:rsidRDefault="00000000">
      <w:pP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Desde 2022, el grupo ha incorporado a más de 41.000 profesionales talentosos, incluyendo casi 27.000 en diversos puestos operativos, y actualmente cuenta con una plantilla de 121.000 personas.</w:t>
      </w:r>
    </w:p>
    <w:p w14:paraId="72A239E5" w14:textId="77777777" w:rsidR="00BF3A82" w:rsidRDefault="00000000">
      <w:pP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El grupo siempre ha sido un imán para el talento y un </w:t>
      </w:r>
      <w:r>
        <w:rPr>
          <w:rFonts w:ascii="Century Gothic" w:eastAsia="Century Gothic" w:hAnsi="Century Gothic" w:cs="Century Gothic"/>
          <w:i/>
          <w:sz w:val="22"/>
          <w:szCs w:val="22"/>
        </w:rPr>
        <w:t>employer of choice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tanto en los EAU como a nivel mundial. Durante el último ejercicio fiscal, el grupo recibió más de 3,7 millones de solicitudes para puestos que abarcan todas sus marcas y departamentos, con candidatos atraídos por el poder de su marca, su reputación global, su estrategia centrada en las personas, su salario exento de impuestos y sus excelentes beneficios, así como sus reconocidos programas de formación, desarrollo y reconocimiento.</w:t>
      </w:r>
    </w:p>
    <w:p w14:paraId="5493FF0D" w14:textId="77777777" w:rsidR="00BF3A82" w:rsidRDefault="00000000">
      <w:pP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Dubái atrae a profesionales talentosos de todo el mundo por diversas razones: seguridad, oportunidades económicas, ecosistemas tecnológicos, políticas innovadoras y por ser un destino con un estilo de vida vibrante.</w:t>
      </w:r>
    </w:p>
    <w:p w14:paraId="4CAC6F1D" w14:textId="77777777" w:rsidR="00BF3A82" w:rsidRDefault="00000000">
      <w:pP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Para los empleados con sede en Dubái, las ventajas del Emirates Group incluyen la posibilidad de participar en las ganancias, cobertura completa de seguro médico y de vida, una amplia gama de beneficios de viaje, como billetes de avión (vacaciones y descuentos para uno mismo, su familia, su familia extendida y amigos), tarifas de carga con descuento y tarjetas de membresía con descuentos en cientos de tiendas minoristas, de hostelería y de estilo de vida.</w:t>
      </w:r>
    </w:p>
    <w:p w14:paraId="0E2F79C3" w14:textId="77777777" w:rsidR="00BF3A82" w:rsidRDefault="00000000">
      <w:pP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Aquellos que deseen unirse al Emirates Group pueden postularse a los diversos puestos y estar al día de las jornadas de puertas abiertas y los eventos de reclutamiento en todo el mundo haciendo clic </w:t>
      </w:r>
      <w:hyperlink r:id="rId7">
        <w:r>
          <w:rPr>
            <w:rFonts w:ascii="Century Gothic" w:eastAsia="Century Gothic" w:hAnsi="Century Gothic" w:cs="Century Gothic"/>
            <w:color w:val="1155CC"/>
            <w:sz w:val="22"/>
            <w:szCs w:val="22"/>
            <w:u w:val="single"/>
          </w:rPr>
          <w:t>aquí</w:t>
        </w:r>
      </w:hyperlink>
      <w:r>
        <w:rPr>
          <w:rFonts w:ascii="Century Gothic" w:eastAsia="Century Gothic" w:hAnsi="Century Gothic" w:cs="Century Gothic"/>
          <w:sz w:val="22"/>
          <w:szCs w:val="22"/>
        </w:rPr>
        <w:t>.</w:t>
      </w:r>
    </w:p>
    <w:p w14:paraId="5E0AE907" w14:textId="77777777" w:rsidR="00E36923" w:rsidRDefault="00E36923">
      <w:pP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</w:p>
    <w:p w14:paraId="4E5EF998" w14:textId="77777777" w:rsidR="00BF3A82" w:rsidRDefault="00000000">
      <w:pPr>
        <w:spacing w:before="280" w:line="360" w:lineRule="auto"/>
        <w:jc w:val="both"/>
        <w:rPr>
          <w:rFonts w:ascii="Century Gothic" w:eastAsia="Century Gothic" w:hAnsi="Century Gothic" w:cs="Century Gothic"/>
          <w:color w:val="222222"/>
          <w:sz w:val="20"/>
          <w:szCs w:val="20"/>
        </w:rPr>
      </w:pPr>
      <w:r>
        <w:rPr>
          <w:rFonts w:ascii="Century Gothic" w:eastAsia="Century Gothic" w:hAnsi="Century Gothic" w:cs="Century Gothic"/>
          <w:b/>
          <w:i/>
          <w:color w:val="222222"/>
          <w:sz w:val="20"/>
          <w:szCs w:val="20"/>
        </w:rPr>
        <w:lastRenderedPageBreak/>
        <w:t>Acerca de Emirates</w:t>
      </w:r>
    </w:p>
    <w:p w14:paraId="2C9A0833" w14:textId="77777777" w:rsidR="00BF3A82" w:rsidRDefault="00000000">
      <w:pPr>
        <w:shd w:val="clear" w:color="auto" w:fill="FFFFFF"/>
        <w:jc w:val="both"/>
        <w:rPr>
          <w:rFonts w:ascii="Arial" w:eastAsia="Arial" w:hAnsi="Arial" w:cs="Arial"/>
          <w:color w:val="222222"/>
          <w:sz w:val="20"/>
          <w:szCs w:val="20"/>
        </w:rPr>
      </w:pPr>
      <w:r>
        <w:rPr>
          <w:rFonts w:ascii="Century Gothic" w:eastAsia="Century Gothic" w:hAnsi="Century Gothic" w:cs="Century Gothic"/>
          <w:color w:val="222222"/>
          <w:sz w:val="20"/>
          <w:szCs w:val="20"/>
        </w:rPr>
        <w:t>Emirates es la aerolínea internacional más grande del mundo y conecta a viajeros con más de 140 ciudades. Emirates opera la flota más grande del mundo de Boeing 777 y Airbus A380, y ahora opera el Airbus A350, que ofrece cabinas espaciosas y características icónicas a bordo en toda su flota. Con una plantilla culturalmente diversa, Emirates atiende a su base global de clientes ofreciendo servicios excepcionales y productos de primera clase, y se ha ganado el reconocimiento de sus clientes por sus servicios líderes en la industria, tanto en tierra como en el aire.</w:t>
      </w:r>
    </w:p>
    <w:sectPr w:rsidR="00BF3A82">
      <w:headerReference w:type="default" r:id="rId8"/>
      <w:pgSz w:w="11900" w:h="16840"/>
      <w:pgMar w:top="1417" w:right="1268" w:bottom="734" w:left="1276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C03B7" w14:textId="77777777" w:rsidR="008D0B2E" w:rsidRDefault="008D0B2E">
      <w:r>
        <w:separator/>
      </w:r>
    </w:p>
  </w:endnote>
  <w:endnote w:type="continuationSeparator" w:id="0">
    <w:p w14:paraId="635399BE" w14:textId="77777777" w:rsidR="008D0B2E" w:rsidRDefault="008D0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BA9629A-908E-4B9C-93F6-4AB7F041B42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48181231-D985-4B23-8A7E-8F964F15ED4C}"/>
  </w:font>
  <w:font w:name="Georgia">
    <w:panose1 w:val="02040502050405020303"/>
    <w:charset w:val="00"/>
    <w:family w:val="auto"/>
    <w:pitch w:val="default"/>
    <w:embedRegular r:id="rId3" w:fontKey="{7BE42AF3-B3F5-4D20-98A0-67808F3DB26A}"/>
    <w:embedItalic r:id="rId4" w:fontKey="{CC1421F6-82FE-42D9-9260-498A7C6662BF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5" w:fontKey="{D39076CE-E406-4549-B928-A55CB20992FF}"/>
    <w:embedBold r:id="rId6" w:fontKey="{52562EC9-6A94-4EF2-B2EC-9A6E7EC6B0DD}"/>
    <w:embedItalic r:id="rId7" w:fontKey="{D64B52E4-F83E-4950-9799-960EDB23574E}"/>
    <w:embedBoldItalic r:id="rId8" w:fontKey="{49F4C2C1-EEC7-4D18-9317-9DF49DC561C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7EDF4" w14:textId="77777777" w:rsidR="008D0B2E" w:rsidRDefault="008D0B2E">
      <w:r>
        <w:separator/>
      </w:r>
    </w:p>
  </w:footnote>
  <w:footnote w:type="continuationSeparator" w:id="0">
    <w:p w14:paraId="25134100" w14:textId="77777777" w:rsidR="008D0B2E" w:rsidRDefault="008D0B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41938" w14:textId="77777777" w:rsidR="00BF3A82" w:rsidRDefault="00000000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  <w:r>
      <w:rPr>
        <w:noProof/>
      </w:rPr>
      <w:drawing>
        <wp:anchor distT="0" distB="0" distL="0" distR="0" simplePos="0" relativeHeight="251658240" behindDoc="0" locked="0" layoutInCell="1" hidden="0" allowOverlap="1" wp14:anchorId="0B8EDCF8" wp14:editId="02BFBDF6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073275" cy="1430655"/>
          <wp:effectExtent l="0" t="0" r="0" b="0"/>
          <wp:wrapSquare wrapText="bothSides" distT="0" distB="0" distL="0" distR="0"/>
          <wp:docPr id="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73275" cy="14306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CB86FBB" w14:textId="77777777" w:rsidR="00BF3A82" w:rsidRDefault="00BF3A82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14:paraId="0AA3327A" w14:textId="77777777" w:rsidR="00BF3A82" w:rsidRDefault="00BF3A82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14:paraId="31D4281F" w14:textId="77777777" w:rsidR="00BF3A82" w:rsidRDefault="00BF3A82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14:paraId="3313F0C6" w14:textId="77777777" w:rsidR="00BF3A82" w:rsidRDefault="00BF3A82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14:paraId="1F08A8A9" w14:textId="77777777" w:rsidR="00BF3A82" w:rsidRDefault="00BF3A82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A82"/>
    <w:rsid w:val="000C504F"/>
    <w:rsid w:val="008D0B2E"/>
    <w:rsid w:val="00BF3A82"/>
    <w:rsid w:val="00E36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67D76"/>
  <w15:docId w15:val="{AA3E9969-46AF-4079-9E51-048FA5AED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2"/>
    <w:tblPr>
      <w:tblStyleRowBandSize w:val="1"/>
      <w:tblStyleColBandSize w:val="1"/>
    </w:tblPr>
  </w:style>
  <w:style w:type="paragraph" w:styleId="Prrafodelista">
    <w:name w:val="List Paragraph"/>
    <w:aliases w:val="numbered,Paragraphe de liste1,Bullet List,FooterText"/>
    <w:basedOn w:val="Normal"/>
    <w:link w:val="PrrafodelistaCar"/>
    <w:uiPriority w:val="34"/>
    <w:qFormat/>
    <w:rsid w:val="004348AD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D15796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E7562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7E7562"/>
    <w:rPr>
      <w:color w:val="800080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3E7D4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E7D4F"/>
  </w:style>
  <w:style w:type="paragraph" w:styleId="Piedepgina">
    <w:name w:val="footer"/>
    <w:basedOn w:val="Normal"/>
    <w:link w:val="PiedepginaCar"/>
    <w:uiPriority w:val="99"/>
    <w:unhideWhenUsed/>
    <w:rsid w:val="003E7D4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E7D4F"/>
  </w:style>
  <w:style w:type="paragraph" w:styleId="NormalWeb">
    <w:name w:val="Normal (Web)"/>
    <w:basedOn w:val="Normal"/>
    <w:uiPriority w:val="99"/>
    <w:unhideWhenUsed/>
    <w:rsid w:val="001863FF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en-GB"/>
    </w:rPr>
  </w:style>
  <w:style w:type="character" w:styleId="Textoennegrita">
    <w:name w:val="Strong"/>
    <w:basedOn w:val="Fuentedeprrafopredeter"/>
    <w:uiPriority w:val="22"/>
    <w:qFormat/>
    <w:rsid w:val="009368A3"/>
    <w:rPr>
      <w:b/>
      <w:bCs/>
    </w:rPr>
  </w:style>
  <w:style w:type="character" w:styleId="Mencinsinresolver">
    <w:name w:val="Unresolved Mention"/>
    <w:basedOn w:val="Fuentedeprrafopredeter"/>
    <w:uiPriority w:val="99"/>
    <w:semiHidden/>
    <w:unhideWhenUsed/>
    <w:rsid w:val="005647D6"/>
    <w:rPr>
      <w:color w:val="605E5C"/>
      <w:shd w:val="clear" w:color="auto" w:fill="E1DFDD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647D6"/>
    <w:pPr>
      <w:spacing w:after="160"/>
    </w:pPr>
    <w:rPr>
      <w:rFonts w:asciiTheme="minorHAnsi" w:eastAsiaTheme="minorEastAsia" w:hAnsiTheme="minorHAnsi" w:cstheme="minorBidi"/>
      <w:sz w:val="20"/>
      <w:szCs w:val="20"/>
      <w:lang w:val="en-GB" w:eastAsia="zh-CN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647D6"/>
    <w:rPr>
      <w:rFonts w:asciiTheme="minorHAnsi" w:eastAsiaTheme="minorEastAsia" w:hAnsiTheme="minorHAnsi" w:cstheme="minorBidi"/>
      <w:sz w:val="20"/>
      <w:szCs w:val="20"/>
      <w:lang w:val="en-GB" w:eastAsia="zh-CN"/>
    </w:rPr>
  </w:style>
  <w:style w:type="character" w:customStyle="1" w:styleId="PrrafodelistaCar">
    <w:name w:val="Párrafo de lista Car"/>
    <w:aliases w:val="numbered Car,Paragraphe de liste1 Car,Bullet List Car,FooterText Car"/>
    <w:basedOn w:val="Fuentedeprrafopredeter"/>
    <w:link w:val="Prrafodelista"/>
    <w:uiPriority w:val="34"/>
    <w:locked/>
    <w:rsid w:val="005647D6"/>
  </w:style>
  <w:style w:type="character" w:customStyle="1" w:styleId="wordsection1Char">
    <w:name w:val="wordsection1 Char"/>
    <w:basedOn w:val="Fuentedeprrafopredeter"/>
    <w:link w:val="wordsection1"/>
    <w:uiPriority w:val="99"/>
    <w:locked/>
    <w:rsid w:val="005647D6"/>
    <w:rPr>
      <w:rFonts w:ascii="Calibri" w:hAnsi="Calibri" w:cs="Calibri"/>
    </w:rPr>
  </w:style>
  <w:style w:type="paragraph" w:customStyle="1" w:styleId="wordsection1">
    <w:name w:val="wordsection1"/>
    <w:basedOn w:val="Normal"/>
    <w:link w:val="wordsection1Char"/>
    <w:uiPriority w:val="99"/>
    <w:rsid w:val="005647D6"/>
    <w:rPr>
      <w:rFonts w:ascii="Calibri" w:hAnsi="Calibri" w:cs="Calibri"/>
    </w:rPr>
  </w:style>
  <w:style w:type="character" w:styleId="Refdecomentario">
    <w:name w:val="annotation reference"/>
    <w:basedOn w:val="Fuentedeprrafopredeter"/>
    <w:uiPriority w:val="99"/>
    <w:semiHidden/>
    <w:unhideWhenUsed/>
    <w:rsid w:val="005647D6"/>
    <w:rPr>
      <w:sz w:val="16"/>
      <w:szCs w:val="16"/>
    </w:rPr>
  </w:style>
  <w:style w:type="character" w:customStyle="1" w:styleId="normaltextrun">
    <w:name w:val="normaltextrun"/>
    <w:basedOn w:val="Fuentedeprrafopredeter"/>
    <w:rsid w:val="005647D6"/>
  </w:style>
  <w:style w:type="table" w:customStyle="1" w:styleId="a0">
    <w:basedOn w:val="TableNormal2"/>
    <w:tblPr>
      <w:tblStyleRowBandSize w:val="1"/>
      <w:tblStyleColBandSize w:val="1"/>
    </w:tblPr>
  </w:style>
  <w:style w:type="character" w:styleId="nfasis">
    <w:name w:val="Emphasis"/>
    <w:basedOn w:val="Fuentedeprrafopredeter"/>
    <w:uiPriority w:val="20"/>
    <w:qFormat/>
    <w:rsid w:val="000D6301"/>
    <w:rPr>
      <w:i/>
      <w:iCs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emiratesgroupcareers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NhoY01D5Ra+O241vtxNIqGzWjA==">CgMxLjA4AHIhMXpTamxBcUdDTDBPZ0NUcENZTVVmS08wYlRQaXBQeFF0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681</Words>
  <Characters>3749</Characters>
  <Application>Microsoft Office Word</Application>
  <DocSecurity>0</DocSecurity>
  <Lines>31</Lines>
  <Paragraphs>8</Paragraphs>
  <ScaleCrop>false</ScaleCrop>
  <Company/>
  <LinksUpToDate>false</LinksUpToDate>
  <CharactersWithSpaces>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Elisenda Barreda</cp:lastModifiedBy>
  <cp:revision>2</cp:revision>
  <dcterms:created xsi:type="dcterms:W3CDTF">2025-07-16T09:47:00Z</dcterms:created>
  <dcterms:modified xsi:type="dcterms:W3CDTF">2025-07-22T11:23:00Z</dcterms:modified>
</cp:coreProperties>
</file>