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entury Gothic" w:cs="Century Gothic" w:eastAsia="Century Gothic" w:hAnsi="Century Gothic"/>
          <w:color w:val="00000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Contacto: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entury Gothic" w:cs="Century Gothic" w:eastAsia="Century Gothic" w:hAnsi="Century Gothic"/>
          <w:color w:val="00000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EMIRATES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entury Gothic" w:cs="Century Gothic" w:eastAsia="Century Gothic" w:hAnsi="Century Gothic"/>
          <w:color w:val="00000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Sergat 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entury Gothic" w:cs="Century Gothic" w:eastAsia="Century Gothic" w:hAnsi="Century Gothic"/>
          <w:color w:val="00000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Teléfono: 93 414 02 10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Correo electrónico: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18"/>
          <w:szCs w:val="18"/>
          <w:rtl w:val="0"/>
        </w:rPr>
        <w:t xml:space="preserve">prensa@sergat.com   </w:t>
      </w:r>
      <w:r w:rsidDel="00000000" w:rsidR="00000000" w:rsidRPr="00000000">
        <w:rPr>
          <w:rtl w:val="0"/>
        </w:rPr>
      </w:r>
    </w:p>
    <w:tbl>
      <w:tblPr>
        <w:tblStyle w:val="Table1"/>
        <w:tblW w:w="5775.0" w:type="dxa"/>
        <w:jc w:val="center"/>
        <w:tblLayout w:type="fixed"/>
        <w:tblLook w:val="0400"/>
      </w:tblPr>
      <w:tblGrid>
        <w:gridCol w:w="5775"/>
        <w:tblGridChange w:id="0">
          <w:tblGrid>
            <w:gridCol w:w="577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center"/>
        <w:rPr>
          <w:rFonts w:ascii="Century Gothic" w:cs="Century Gothic" w:eastAsia="Century Gothic" w:hAnsi="Century Gothic"/>
          <w:b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Emirates celebra 15 años de “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rtl w:val="0"/>
        </w:rPr>
        <w:t xml:space="preserve">flying better</w:t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” en Madrid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80" w:line="360" w:lineRule="auto"/>
        <w:ind w:left="720" w:right="0" w:hanging="360"/>
        <w:jc w:val="center"/>
        <w:rPr>
          <w:rFonts w:ascii="Century Gothic" w:cs="Century Gothic" w:eastAsia="Century Gothic" w:hAnsi="Century Gothic"/>
          <w:b w:val="0"/>
          <w:i w:val="1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La aerolínea ha transportado a más de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5,3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millones de pasajeros en la ruta Madrid-Dubái desde 2010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360" w:lineRule="auto"/>
        <w:ind w:left="720" w:right="0" w:hanging="360"/>
        <w:jc w:val="center"/>
        <w:rPr>
          <w:rFonts w:ascii="Century Gothic" w:cs="Century Gothic" w:eastAsia="Century Gothic" w:hAnsi="Century Gothic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Actualmente opera en España con 28 vuelos semanales, incluyendo dos vuelos diarios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en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Madrid y dos vuelos diarios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en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Barcelona, además de un vuelo diario desde Dubái a Ciudad de México vía Barcelona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rtl w:val="0"/>
        </w:rPr>
        <w:t xml:space="preserve">Madrid, 1 de agosto de 2025: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Emirates celebra 15 años conectando Madrid con el mundo. La aerolínea internacional más grande del mundo inició sus operaciones en la capital española en 2010 y, desde entonces, ha transportado a más de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5,3 millones de pasajeros desde y hacia la ciudad. 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En la actualidad, la aerolínea opera 28 vuelos semanales: 14 vuelos semanales en Madrid y 14 vuelos semanales en Barcelona, incluyendo 7 vuelos semanales desde Dubái a Ciudad de México vía Barcelona. Emirates ha anunciado recientemente la introducción de su renovado Boeing 777 de cuatro clases en Madrid a partir del 16 de septiembre. Los clientes disfrutarán de una experiencia de viaje mejorada con interiores actualizados y detalles exclusivos en todas las cabinas. Madrid es el primer destino de Emirates en España que opera con los interiores de última generación de la aerolínea.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rtl w:val="0"/>
        </w:rPr>
        <w:t xml:space="preserve">Monika White, directora de Emirates en España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, ha declarado: “Estamos orgullosos de celebrar 15 años de servicios de pasajeros en Madrid. España siempre ha sido un mercado fundamental y estratégico en la red global de Emirates. Desde nuestro primer vuelo en 2010, Emirates se ha comprometido a brindar experiencias de viaje de primer nivel a nuestros clientes españoles, al tiempo que apoya el turismo, el comercio y los negocios entre el país y el resto del mundo. Gracias a nuestros socios, a las autoridades aeroportuarias y a nuestro personal por hacer posible este hito. Por muchos más años de crecimiento, colaboración estratégica y mejoras en el viaje de nuestros clientes con productos innovadores, servicios elevados y experiencias inigualables”. 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Las operaciones de Emirates en España siguen impulsando el comercio, los negocios y el turismo en el país. En los últimos 15 años, la aerolínea ha alcanzado importantes hitos, entre los que se incluyen:  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 w:before="280" w:line="360" w:lineRule="auto"/>
        <w:ind w:left="720" w:hanging="360"/>
        <w:jc w:val="both"/>
        <w:rPr>
          <w:rFonts w:ascii="Century Gothic" w:cs="Century Gothic" w:eastAsia="Century Gothic" w:hAnsi="Century Gothic"/>
          <w:sz w:val="22"/>
          <w:szCs w:val="22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Más de 17.040 vuelos de ida y vuelta desde/hacia Madrid, ofreciendo a los clientes una conectividad sin parangón a más de 140 destinos vía Dubái.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rtl w:val="0"/>
        </w:rPr>
        <w:t xml:space="preserve">Apoyo a las empresas: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Emirates SkyCargo, la división de carga de la aerolínea, opera tres vuelos semanales a Zaragoza y dos vuelos semanales a Madrid, lo que facilita el acceso de las empresas a nuevos mercados internacionales de exportación.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Solo en el último año (marzo de 2024 - abril de 2025), SkyCargo ha transportado más de 73.000 toneladas de carga desde y hacia España, incluyendo los principales productos de exportación, como textiles, fruta fresca, perfumes, cosméticos, calzado y más.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Emirates Group emplea a más de 848  españoles, entre los que se incluyen 600 tripulantes de cabina y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145 pilotos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 w:before="0" w:beforeAutospacing="0" w:line="360" w:lineRule="auto"/>
        <w:ind w:left="720" w:hanging="360"/>
        <w:jc w:val="both"/>
        <w:rPr>
          <w:rFonts w:ascii="Century Gothic" w:cs="Century Gothic" w:eastAsia="Century Gothic" w:hAnsi="Century Gothic"/>
          <w:sz w:val="22"/>
          <w:szCs w:val="22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rtl w:val="0"/>
        </w:rPr>
        <w:t xml:space="preserve">Apoyo a las comunidades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: la aerolínea apoya a las comunidades locales a través de su amplia cartera de patrocinios. En España, Emirates se enorgullece de patrocinar el Mutua Madrid Open y el Barcelona Open Banc Sabadell, y es socio principal oficial del Real Madrid desde 2011.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 w:before="0" w:beforeAutospacing="0" w:line="360" w:lineRule="auto"/>
        <w:ind w:left="720" w:hanging="360"/>
        <w:jc w:val="both"/>
        <w:rPr>
          <w:rFonts w:ascii="Century Gothic" w:cs="Century Gothic" w:eastAsia="Century Gothic" w:hAnsi="Century Gothic"/>
          <w:sz w:val="22"/>
          <w:szCs w:val="22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Más de 400.000 españoles son miembros de Emirates Skywards, el galardonado programa de fidelización de Emirates y flydubai, que permite canjear recompensas exclusivas, como vuelos con aerolíneas asociadas, estancias en hoteles y experiencias.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 w:before="0" w:beforeAutospacing="0" w:line="360" w:lineRule="auto"/>
        <w:ind w:left="720" w:hanging="360"/>
        <w:jc w:val="both"/>
        <w:rPr>
          <w:rFonts w:ascii="Century Gothic" w:cs="Century Gothic" w:eastAsia="Century Gothic" w:hAnsi="Century Gothic"/>
          <w:sz w:val="22"/>
          <w:szCs w:val="22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Hasta 265 películas disponibles en español, incluyendo 33 películas originales españolas y más de 232 películas de Hollywood dobladas al español en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ice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, el galardonado sistema de entretenimiento a bordo de la aerolínea, con más de 6500 canales de entretenimiento a la carta.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0" w:beforeAutospacing="0" w:line="360" w:lineRule="auto"/>
        <w:ind w:left="720" w:hanging="360"/>
        <w:jc w:val="both"/>
        <w:rPr>
          <w:rFonts w:ascii="Century Gothic" w:cs="Century Gothic" w:eastAsia="Century Gothic" w:hAnsi="Century Gothic"/>
          <w:sz w:val="22"/>
          <w:szCs w:val="22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rtl w:val="0"/>
        </w:rPr>
        <w:t xml:space="preserve">Fortalecimiento de los lazos bilaterales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: el impacto de Emirates trasciende el sector aéreo y contribuye al dinamismo de las relaciones bilaterales. En 2024, el comercio entre España y los EAU alcanzó los 3000 millones de euros. Los EAU son el segundo exportador de España (2300 millones de euros) y su quinto socio comercial en la región de Oriente Medio y Norte de África. España es también el sexto socio exportador de los EAU en la Unión Europea.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b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sz w:val="22"/>
          <w:szCs w:val="22"/>
          <w:rtl w:val="0"/>
        </w:rPr>
        <w:t xml:space="preserve">Flying better</w:t>
      </w:r>
      <w:r w:rsidDel="00000000" w:rsidR="00000000" w:rsidRPr="00000000">
        <w:rPr>
          <w:rFonts w:ascii="Century Gothic" w:cs="Century Gothic" w:eastAsia="Century Gothic" w:hAnsi="Century Gothic"/>
          <w:b w:val="1"/>
          <w:sz w:val="22"/>
          <w:szCs w:val="22"/>
          <w:rtl w:val="0"/>
        </w:rPr>
        <w:t xml:space="preserve"> hacia el futuro 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Emirates continúa invirtiendo en mejorar la experiencia de viaje a través de su ambicioso programa multimillonario de modernización, uno de los más grandes en la historia de la aviación. Con 61 aviones ya renovados, incluidos 31 A380 y 30 Boeing 777, el programa tiene previsto actualizar más de 220 aviones con los últimos productos de cabina de Emirates. Esto incluye la aclamada clase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Premium Economy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, junto con interiores renovados en todas las cabinas. Estas mejoras reflejan el compromiso de la aerolínea de ofrecer una experiencia consistente y de referencia en el sector en más rutas en todo el mundo. Combinando la galardonada hospitalidad de Emirates, la cocina de inspiración regional y las lujosas comodidades, la aerolínea está estableciendo nuevos estándares de lo que significa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rtl w:val="0"/>
        </w:rPr>
        <w:t xml:space="preserve">fly better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hacia el futuro.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Para más información, visite </w:t>
      </w:r>
      <w:hyperlink r:id="rId7">
        <w:r w:rsidDel="00000000" w:rsidR="00000000" w:rsidRPr="00000000">
          <w:rPr>
            <w:rFonts w:ascii="Century Gothic" w:cs="Century Gothic" w:eastAsia="Century Gothic" w:hAnsi="Century Gothic"/>
            <w:color w:val="1155cc"/>
            <w:sz w:val="22"/>
            <w:szCs w:val="22"/>
            <w:u w:val="single"/>
            <w:rtl w:val="0"/>
          </w:rPr>
          <w:t xml:space="preserve">emirates.com</w:t>
        </w:r>
      </w:hyperlink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9">
      <w:pPr>
        <w:shd w:fill="ffffff" w:val="clear"/>
        <w:rPr>
          <w:rFonts w:ascii="Arial" w:cs="Arial" w:eastAsia="Arial" w:hAnsi="Arial"/>
          <w:b w:val="1"/>
          <w:i w:val="1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280" w:line="360" w:lineRule="auto"/>
        <w:jc w:val="both"/>
        <w:rPr>
          <w:rFonts w:ascii="Century Gothic" w:cs="Century Gothic" w:eastAsia="Century Gothic" w:hAnsi="Century Gothic"/>
          <w:color w:val="222222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1"/>
          <w:color w:val="222222"/>
          <w:sz w:val="20"/>
          <w:szCs w:val="20"/>
          <w:rtl w:val="0"/>
        </w:rPr>
        <w:t xml:space="preserve">Acerca de Emirates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jc w:val="both"/>
        <w:rPr>
          <w:rFonts w:ascii="Arial" w:cs="Arial" w:eastAsia="Arial" w:hAnsi="Arial"/>
          <w:b w:val="1"/>
          <w:i w:val="1"/>
          <w:color w:val="222222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color w:val="222222"/>
          <w:sz w:val="20"/>
          <w:szCs w:val="20"/>
          <w:rtl w:val="0"/>
        </w:rPr>
        <w:t xml:space="preserve">Emirates es la aerolínea internacional más grande del mundo y conecta a viajeros con más de 140 ciudades. Emirates opera la flota más grande del mundo de Boeing 777 y Airbus A380, y ahora opera el Airbus A350, que ofrece cabinas espaciosas y características icónicas a bordo en toda su flota. Con una plantilla culturalmente diversa, Emirates atiende a su base global de clientes ofreciendo servicios excepcionales y productos de primera clase, y se ha ganado el reconocimiento de sus clientes por sus servicios líderes en la industria, tanto en tierra como en el aire.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rPr>
          <w:rFonts w:ascii="Arial" w:cs="Arial" w:eastAsia="Arial" w:hAnsi="Arial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40" w:w="11900" w:orient="portrait"/>
      <w:pgMar w:bottom="734" w:top="1417" w:left="1276" w:right="126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mbria"/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b="0" l="0" r="0" t="0"/>
          <wp:wrapSquare wrapText="bothSides" distB="0" distT="0" distL="0" distR="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b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b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Rule="auto"/>
    </w:pPr>
    <w:rPr>
      <w:b w:val="1"/>
      <w:color w:val="000000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Rule="auto"/>
    </w:pPr>
    <w:rPr>
      <w:b w:val="1"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 w:lineRule="auto"/>
    </w:pPr>
    <w:rPr>
      <w:b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color w:val="000000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tblPr>
      <w:tblStyleRowBandSize w:val="1"/>
      <w:tblStyleColBandSize w:val="1"/>
    </w:tblPr>
  </w:style>
  <w:style w:type="paragraph" w:styleId="Prrafodelista">
    <w:name w:val="List Paragraph"/>
    <w:aliases w:val="numbered,Paragraphe de liste1,Bullet List,FooterText"/>
    <w:basedOn w:val="Normal"/>
    <w:link w:val="PrrafodelistaCar"/>
    <w:uiPriority w:val="34"/>
    <w:qFormat w:val="1"/>
    <w:rsid w:val="004348AD"/>
    <w:pPr>
      <w:ind w:left="720"/>
      <w:contextualSpacing w:val="1"/>
    </w:pPr>
  </w:style>
  <w:style w:type="character" w:styleId="Hipervnculo">
    <w:name w:val="Hyperlink"/>
    <w:basedOn w:val="Fuentedeprrafopredeter"/>
    <w:uiPriority w:val="99"/>
    <w:unhideWhenUsed w:val="1"/>
    <w:rsid w:val="00D15796"/>
    <w:rPr>
      <w:color w:val="0000ff" w:themeColor="hyperlink"/>
      <w:u w:val="single"/>
    </w:rPr>
  </w:style>
  <w:style w:type="character" w:styleId="Mencinsinresolver1" w:customStyle="1">
    <w:name w:val="Mención sin resolver1"/>
    <w:basedOn w:val="Fuentedeprrafopredeter"/>
    <w:uiPriority w:val="99"/>
    <w:semiHidden w:val="1"/>
    <w:unhideWhenUsed w:val="1"/>
    <w:rsid w:val="007E7562"/>
    <w:rPr>
      <w:color w:val="605e5c"/>
      <w:shd w:color="auto" w:fill="e1dfdd" w:val="clear"/>
    </w:rPr>
  </w:style>
  <w:style w:type="character" w:styleId="Hipervnculovisitado">
    <w:name w:val="FollowedHyperlink"/>
    <w:basedOn w:val="Fuentedeprrafopredeter"/>
    <w:uiPriority w:val="99"/>
    <w:semiHidden w:val="1"/>
    <w:unhideWhenUsed w:val="1"/>
    <w:rsid w:val="007E7562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 w:val="1"/>
    <w:rsid w:val="003E7D4F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3E7D4F"/>
  </w:style>
  <w:style w:type="paragraph" w:styleId="Piedepgina">
    <w:name w:val="footer"/>
    <w:basedOn w:val="Normal"/>
    <w:link w:val="PiedepginaCar"/>
    <w:uiPriority w:val="99"/>
    <w:unhideWhenUsed w:val="1"/>
    <w:rsid w:val="003E7D4F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3E7D4F"/>
  </w:style>
  <w:style w:type="paragraph" w:styleId="NormalWeb">
    <w:name w:val="Normal (Web)"/>
    <w:basedOn w:val="Normal"/>
    <w:uiPriority w:val="99"/>
    <w:unhideWhenUsed w:val="1"/>
    <w:rsid w:val="001863FF"/>
    <w:pPr>
      <w:spacing w:after="100" w:afterAutospacing="1" w:before="100" w:beforeAutospacing="1"/>
    </w:pPr>
    <w:rPr>
      <w:rFonts w:ascii="Calibri" w:cs="Calibri" w:hAnsi="Calibri" w:eastAsiaTheme="minorHAnsi"/>
      <w:sz w:val="22"/>
      <w:szCs w:val="22"/>
      <w:lang w:val="en-GB"/>
    </w:rPr>
  </w:style>
  <w:style w:type="character" w:styleId="Textoennegrita">
    <w:name w:val="Strong"/>
    <w:basedOn w:val="Fuentedeprrafopredeter"/>
    <w:uiPriority w:val="22"/>
    <w:qFormat w:val="1"/>
    <w:rsid w:val="009368A3"/>
    <w:rPr>
      <w:b w:val="1"/>
      <w:bCs w:val="1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5647D6"/>
    <w:rPr>
      <w:color w:val="605e5c"/>
      <w:shd w:color="auto" w:fill="e1dfdd" w:val="clear"/>
    </w:rPr>
  </w:style>
  <w:style w:type="paragraph" w:styleId="Textocomentario">
    <w:name w:val="annotation text"/>
    <w:basedOn w:val="Normal"/>
    <w:link w:val="TextocomentarioCar"/>
    <w:uiPriority w:val="99"/>
    <w:semiHidden w:val="1"/>
    <w:unhideWhenUsed w:val="1"/>
    <w:rsid w:val="005647D6"/>
    <w:pPr>
      <w:spacing w:after="160"/>
    </w:pPr>
    <w:rPr>
      <w:rFonts w:asciiTheme="minorHAnsi" w:cstheme="minorBidi" w:eastAsiaTheme="minorEastAsia" w:hAnsiTheme="minorHAnsi"/>
      <w:sz w:val="20"/>
      <w:szCs w:val="20"/>
      <w:lang w:eastAsia="zh-CN" w:val="en-GB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 w:val="1"/>
    <w:rsid w:val="005647D6"/>
    <w:rPr>
      <w:rFonts w:asciiTheme="minorHAnsi" w:cstheme="minorBidi" w:eastAsiaTheme="minorEastAsia" w:hAnsiTheme="minorHAnsi"/>
      <w:sz w:val="20"/>
      <w:szCs w:val="20"/>
      <w:lang w:eastAsia="zh-CN" w:val="en-GB"/>
    </w:rPr>
  </w:style>
  <w:style w:type="character" w:styleId="PrrafodelistaCar" w:customStyle="1">
    <w:name w:val="Párrafo de lista Car"/>
    <w:aliases w:val="numbered Car,Paragraphe de liste1 Car,Bullet List Car,FooterText Car"/>
    <w:basedOn w:val="Fuentedeprrafopredeter"/>
    <w:link w:val="Prrafodelista"/>
    <w:uiPriority w:val="34"/>
    <w:locked w:val="1"/>
    <w:rsid w:val="005647D6"/>
  </w:style>
  <w:style w:type="character" w:styleId="wordsection1Char" w:customStyle="1">
    <w:name w:val="wordsection1 Char"/>
    <w:basedOn w:val="Fuentedeprrafopredeter"/>
    <w:link w:val="wordsection1"/>
    <w:uiPriority w:val="99"/>
    <w:locked w:val="1"/>
    <w:rsid w:val="005647D6"/>
    <w:rPr>
      <w:rFonts w:ascii="Calibri" w:cs="Calibri" w:hAnsi="Calibri"/>
    </w:rPr>
  </w:style>
  <w:style w:type="paragraph" w:styleId="wordsection1" w:customStyle="1">
    <w:name w:val="wordsection1"/>
    <w:basedOn w:val="Normal"/>
    <w:link w:val="wordsection1Char"/>
    <w:uiPriority w:val="99"/>
    <w:rsid w:val="005647D6"/>
    <w:rPr>
      <w:rFonts w:ascii="Calibri" w:cs="Calibri" w:hAnsi="Calibri"/>
    </w:rPr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5647D6"/>
    <w:rPr>
      <w:sz w:val="16"/>
      <w:szCs w:val="16"/>
    </w:rPr>
  </w:style>
  <w:style w:type="character" w:styleId="normaltextrun" w:customStyle="1">
    <w:name w:val="normaltextrun"/>
    <w:basedOn w:val="Fuentedeprrafopredeter"/>
    <w:rsid w:val="005647D6"/>
  </w:style>
  <w:style w:type="table" w:styleId="a0" w:customStyle="1">
    <w:basedOn w:val="TableNormal0"/>
    <w:tblPr>
      <w:tblStyleRowBandSize w:val="1"/>
      <w:tblStyleColBandSize w:val="1"/>
    </w:tblPr>
  </w:style>
  <w:style w:type="character" w:styleId="nfasis">
    <w:name w:val="Emphasis"/>
    <w:basedOn w:val="Fuentedeprrafopredeter"/>
    <w:uiPriority w:val="20"/>
    <w:qFormat w:val="1"/>
    <w:rsid w:val="000D6301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emirates.com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QKKo6d84sluUJN4kwVLszL6C/g==">CgMxLjA4AHIhMUk0emJ2Rll3bk5jSnVHUkczajU5bFpRYWRKY3VXcmVl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2025-07-18T09:57:00Z</dcterms:created>
  <dc:creator>Usuario</dc:creator>
</cp:coreProperties>
</file>