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Teléfono: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Correo electrónico: </w:t>
      </w:r>
      <w:r w:rsidDel="00000000" w:rsidR="00000000" w:rsidRPr="00000000">
        <w:rPr>
          <w:rFonts w:ascii="Century Gothic" w:cs="Century Gothic" w:eastAsia="Century Gothic" w:hAnsi="Century Gothic"/>
          <w:color w:val="0000ff"/>
          <w:sz w:val="18"/>
          <w:szCs w:val="18"/>
          <w:rtl w:val="0"/>
        </w:rPr>
        <w:t xml:space="preserve">prensa@sergat.com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se estrena como patrocinador principal y oficial del Real Madrid de Baloncesto</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720" w:right="0" w:hanging="360"/>
        <w:jc w:val="center"/>
        <w:rPr>
          <w:rFonts w:ascii="Century Gothic" w:cs="Century Gothic" w:eastAsia="Century Gothic" w:hAnsi="Century Gothic"/>
          <w:b w:val="0"/>
          <w:i w:val="1"/>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La aerolínea firma un acuerdo de colaboración plurianual con uno de los clubes de baloncesto más exitosos de Europa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Century Gothic" w:cs="Century Gothic" w:eastAsia="Century Gothic" w:hAnsi="Century Gothic"/>
          <w:b w:val="0"/>
          <w:i w:val="1"/>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El acuerdo incluye la presencia destacada de la marca en las camisetas del equipo de baloncesto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EAU, 15 de septiembre de 2025: </w:t>
      </w:r>
      <w:r w:rsidDel="00000000" w:rsidR="00000000" w:rsidRPr="00000000">
        <w:rPr>
          <w:rFonts w:ascii="Century Gothic" w:cs="Century Gothic" w:eastAsia="Century Gothic" w:hAnsi="Century Gothic"/>
          <w:sz w:val="22"/>
          <w:szCs w:val="22"/>
          <w:rtl w:val="0"/>
        </w:rPr>
        <w:t xml:space="preserve">Emirates y el Real Madrid han anunciado una colaboración plurianual que convierte a Emirates en patrocinador oficial y principal del club español. La colaboración comenzará con efecto inmediato. Como parte del acuerdo, la marca «</w:t>
      </w:r>
      <w:r w:rsidDel="00000000" w:rsidR="00000000" w:rsidRPr="00000000">
        <w:rPr>
          <w:rFonts w:ascii="Century Gothic" w:cs="Century Gothic" w:eastAsia="Century Gothic" w:hAnsi="Century Gothic"/>
          <w:i w:val="1"/>
          <w:sz w:val="22"/>
          <w:szCs w:val="22"/>
          <w:rtl w:val="0"/>
        </w:rPr>
        <w:t xml:space="preserve">Fly Better</w:t>
      </w:r>
      <w:r w:rsidDel="00000000" w:rsidR="00000000" w:rsidRPr="00000000">
        <w:rPr>
          <w:rFonts w:ascii="Century Gothic" w:cs="Century Gothic" w:eastAsia="Century Gothic" w:hAnsi="Century Gothic"/>
          <w:sz w:val="22"/>
          <w:szCs w:val="22"/>
          <w:rtl w:val="0"/>
        </w:rPr>
        <w:t xml:space="preserve">» de Emirates aparecerá de forma destacada en las camisetas, en consonancia con su presencia en los equipos de fútbol masculino y femenino.</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Esta asociación con el Real Madrid de Baloncesto marca el debut de Emirates en el baloncesto europeo, a medida que la aerolínea amplía su presencia global en este deporte, y refuerza su misión de acercar a los aficionados al juego.</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Real Madrid es el único club deportivo europeo que se ha proclamado campeón de Europa tanto en fútbol como en baloncesto en la misma temporada.</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Sir Tim Clark, presidente de Emirates Airline, declara: “Estamos orgullosos de esta oportunidad única de convertirnos en el patrocinador principal y oficial del Real Madrid, lo que complementa nuestra relación a largo plazo con el Real Madrid CF, al tiempo que ampliamos nuestra presencia en el baloncesto. También nos entusiasma llevar la marca Emirates a las canchas europeas como patrocinador de la camiseta de un equipo con un legado sin igual y una rica tradición de excelencia en los campeonatos. La colaboración refuerza nuestra conexión con la base de aficionados del Real Madrid en todo el mundo y abre nuevos canales para hacer crecer la pasión y la emoción por el baloncesto en toda nuestra red. Estamos deseando poner en marcha esta colaboración con el Real Madrid  y conectar con los aficionados de todo el mundo”.</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Patrocinador oficial y principal del Real Madrid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marca distintiva de Emirates, «</w:t>
      </w:r>
      <w:r w:rsidDel="00000000" w:rsidR="00000000" w:rsidRPr="00000000">
        <w:rPr>
          <w:rFonts w:ascii="Century Gothic" w:cs="Century Gothic" w:eastAsia="Century Gothic" w:hAnsi="Century Gothic"/>
          <w:i w:val="1"/>
          <w:sz w:val="22"/>
          <w:szCs w:val="22"/>
          <w:rtl w:val="0"/>
        </w:rPr>
        <w:t xml:space="preserve">Fly Better</w:t>
      </w:r>
      <w:r w:rsidDel="00000000" w:rsidR="00000000" w:rsidRPr="00000000">
        <w:rPr>
          <w:rFonts w:ascii="Century Gothic" w:cs="Century Gothic" w:eastAsia="Century Gothic" w:hAnsi="Century Gothic"/>
          <w:sz w:val="22"/>
          <w:szCs w:val="22"/>
          <w:rtl w:val="0"/>
        </w:rPr>
        <w:t xml:space="preserve">», aparecerá en todas las camisetas de los jugadores, los equipos de entrenamiento y la ropa del personal del equipo. La colaboración también proporcionará a Emirates importantes oportunidades de promoción de la marca en el estadio Movistar Arena de Madrid, incluyendo visibilidad en el marcador y señalización virtual en el interior del estadio; oportunidades de hospitalidad y venta de entradas; derechos de marketing y redes sociales para desarrollar campañas globales; así como derechos publicitarios. Emirates también estará presente</w:t>
      </w:r>
      <w:r w:rsidDel="00000000" w:rsidR="00000000" w:rsidRPr="00000000">
        <w:rPr>
          <w:rFonts w:ascii="Century Gothic" w:cs="Century Gothic" w:eastAsia="Century Gothic" w:hAnsi="Century Gothic"/>
          <w:sz w:val="22"/>
          <w:szCs w:val="22"/>
          <w:rtl w:val="0"/>
        </w:rPr>
        <w:t xml:space="preserve"> en</w:t>
      </w: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sz w:val="22"/>
          <w:szCs w:val="22"/>
          <w:rtl w:val="0"/>
        </w:rPr>
        <w:t xml:space="preserve">otros grandes eventos de la liga</w:t>
      </w:r>
      <w:r w:rsidDel="00000000" w:rsidR="00000000" w:rsidRPr="00000000">
        <w:rPr>
          <w:rFonts w:ascii="Century Gothic" w:cs="Century Gothic" w:eastAsia="Century Gothic" w:hAnsi="Century Gothic"/>
          <w:sz w:val="22"/>
          <w:szCs w:val="22"/>
          <w:rtl w:val="0"/>
        </w:rPr>
        <w:t xml:space="preserve">, como la Liga ACB, la Euroliga y la Copa del Rey.</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aerolínea también tendrá acceso a las instalaciones de baloncesto del Complejo de Entrenamiento de la Ciudad Real Madrid para organizar visitas exclusivas entre bastidores para los invitados, encuentros con los jugadores y la oportunidad de organizar </w:t>
      </w:r>
      <w:r w:rsidDel="00000000" w:rsidR="00000000" w:rsidRPr="00000000">
        <w:rPr>
          <w:rFonts w:ascii="Century Gothic" w:cs="Century Gothic" w:eastAsia="Century Gothic" w:hAnsi="Century Gothic"/>
          <w:i w:val="1"/>
          <w:sz w:val="22"/>
          <w:szCs w:val="22"/>
          <w:rtl w:val="0"/>
        </w:rPr>
        <w:t xml:space="preserve">youth clinics</w:t>
      </w: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sz w:val="22"/>
          <w:szCs w:val="22"/>
          <w:rtl w:val="0"/>
        </w:rPr>
        <w:t xml:space="preserve">a medida con leyendas destacadas.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Un compromiso a largo plazo con el baloncesto</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Desde clubes de base y ligas internacionales hasta la NBA, Emirates lleva más de tres décadas apoyando el baloncesto.</w:t>
      </w:r>
      <w:r w:rsidDel="00000000" w:rsidR="00000000" w:rsidRPr="00000000">
        <w:rPr>
          <w:rFonts w:ascii="Century Gothic" w:cs="Century Gothic" w:eastAsia="Century Gothic" w:hAnsi="Century Gothic"/>
          <w:sz w:val="22"/>
          <w:szCs w:val="22"/>
          <w:rtl w:val="0"/>
        </w:rPr>
        <w:t xml:space="preserve"> En 2024, Emirates y la NBA anunciaron una histórica alianza global plurianual, convirti</w:t>
      </w:r>
      <w:r w:rsidDel="00000000" w:rsidR="00000000" w:rsidRPr="00000000">
        <w:rPr>
          <w:rFonts w:ascii="Century Gothic" w:cs="Century Gothic" w:eastAsia="Century Gothic" w:hAnsi="Century Gothic"/>
          <w:sz w:val="22"/>
          <w:szCs w:val="22"/>
          <w:rtl w:val="0"/>
        </w:rPr>
        <w:t xml:space="preserve">éndose</w:t>
      </w:r>
      <w:r w:rsidDel="00000000" w:rsidR="00000000" w:rsidRPr="00000000">
        <w:rPr>
          <w:rFonts w:ascii="Century Gothic" w:cs="Century Gothic" w:eastAsia="Century Gothic" w:hAnsi="Century Gothic"/>
          <w:sz w:val="22"/>
          <w:szCs w:val="22"/>
          <w:rtl w:val="0"/>
        </w:rPr>
        <w:t xml:space="preserve"> en la aerolínea oficial global de la NBA y en la primera patrocinadora principal de la Emirates NBA Cup. Emirates también se convirtió en la primera aerolínea en aparecer en el parche de la camiseta de los árbitros.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aerolínea también ha apoyado a la Asociación de Baloncesto de los Emiratos Árabes Unidos y al Campeonato Internacional de Baloncesto de Dubái durante casi 30 años. Emirates patrocinó, asimismo, el Campeonato Mundial de la FIBA 2014 en los Emiratos Árabes Unidos. Los equipos patrocinados por Emirates han ganado siete títulos del Campeonato Internacional de Baloncesto. Actualmente, Emirates también patrocina al Club de Baloncesto de Beirut.</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España, Emirates sigue siendo patrocinador del Real Madrid y de los torneos anuales de la ATP: el Mutua Madrid Open y el Barcelona Open Banc Sabadell.</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opera actualmente 28 vuelos semanales a España: 14 vuelos semanales a Madrid y 14 vuelos semanales a Barcelona, incluidos 7 vuelos semanales desde Dubái a Ciudad de México vía Barcelona.</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280" w:line="360" w:lineRule="auto"/>
        <w:jc w:val="both"/>
        <w:rPr>
          <w:rFonts w:ascii="Arial" w:cs="Arial" w:eastAsia="Arial" w:hAnsi="Arial"/>
          <w:color w:val="222222"/>
          <w:sz w:val="20"/>
          <w:szCs w:val="20"/>
        </w:rPr>
      </w:pPr>
      <w:r w:rsidDel="00000000" w:rsidR="00000000" w:rsidRPr="00000000">
        <w:rPr>
          <w:rFonts w:ascii="Century Gothic" w:cs="Century Gothic" w:eastAsia="Century Gothic" w:hAnsi="Century Gothic"/>
          <w:sz w:val="22"/>
          <w:szCs w:val="22"/>
          <w:rtl w:val="0"/>
        </w:rPr>
        <w:t xml:space="preserve">Para obtener más información, visite </w:t>
      </w:r>
      <w:hyperlink r:id="rId7">
        <w:r w:rsidDel="00000000" w:rsidR="00000000" w:rsidRPr="00000000">
          <w:rPr>
            <w:rFonts w:ascii="Century Gothic" w:cs="Century Gothic" w:eastAsia="Century Gothic" w:hAnsi="Century Gothic"/>
            <w:color w:val="1155cc"/>
            <w:sz w:val="22"/>
            <w:szCs w:val="22"/>
            <w:u w:val="single"/>
            <w:rtl w:val="0"/>
          </w:rPr>
          <w:t xml:space="preserve">emirates.com</w:t>
        </w:r>
      </w:hyperlink>
      <w:r w:rsidDel="00000000" w:rsidR="00000000" w:rsidRPr="00000000">
        <w:rPr>
          <w:rFonts w:ascii="Century Gothic" w:cs="Century Gothic" w:eastAsia="Century Gothic" w:hAnsi="Century Gothic"/>
          <w:sz w:val="22"/>
          <w:szCs w:val="22"/>
          <w:rtl w:val="0"/>
        </w:rPr>
        <w:t xml:space="preserve">.</w:t>
      </w:r>
      <w:r w:rsidDel="00000000" w:rsidR="00000000" w:rsidRPr="00000000">
        <w:rPr>
          <w:rtl w:val="0"/>
        </w:rPr>
      </w:r>
    </w:p>
    <w:p w:rsidR="00000000" w:rsidDel="00000000" w:rsidP="00000000" w:rsidRDefault="00000000" w:rsidRPr="00000000" w14:paraId="00000016">
      <w:pPr>
        <w:spacing w:before="280" w:line="360" w:lineRule="auto"/>
        <w:jc w:val="both"/>
        <w:rPr>
          <w:rFonts w:ascii="Century Gothic" w:cs="Century Gothic" w:eastAsia="Century Gothic" w:hAnsi="Century Gothic"/>
          <w:color w:val="222222"/>
          <w:sz w:val="20"/>
          <w:szCs w:val="20"/>
        </w:rPr>
      </w:pPr>
      <w:r w:rsidDel="00000000" w:rsidR="00000000" w:rsidRPr="00000000">
        <w:rPr>
          <w:rFonts w:ascii="Century Gothic" w:cs="Century Gothic" w:eastAsia="Century Gothic" w:hAnsi="Century Gothic"/>
          <w:b w:val="1"/>
          <w:i w:val="1"/>
          <w:color w:val="222222"/>
          <w:sz w:val="20"/>
          <w:szCs w:val="20"/>
          <w:rtl w:val="0"/>
        </w:rPr>
        <w:t xml:space="preserve">Acerca de Emirates</w:t>
      </w:r>
      <w:r w:rsidDel="00000000" w:rsidR="00000000" w:rsidRPr="00000000">
        <w:rPr>
          <w:rtl w:val="0"/>
        </w:rPr>
      </w:r>
    </w:p>
    <w:p w:rsidR="00000000" w:rsidDel="00000000" w:rsidP="00000000" w:rsidRDefault="00000000" w:rsidRPr="00000000" w14:paraId="00000017">
      <w:pPr>
        <w:shd w:fill="ffffff" w:val="clear"/>
        <w:jc w:val="both"/>
        <w:rPr>
          <w:rFonts w:ascii="Arial" w:cs="Arial" w:eastAsia="Arial" w:hAnsi="Arial"/>
          <w:color w:val="222222"/>
          <w:sz w:val="20"/>
          <w:szCs w:val="20"/>
        </w:rPr>
      </w:pPr>
      <w:r w:rsidDel="00000000" w:rsidR="00000000" w:rsidRPr="00000000">
        <w:rPr>
          <w:rFonts w:ascii="Century Gothic" w:cs="Century Gothic" w:eastAsia="Century Gothic" w:hAnsi="Century Gothic"/>
          <w:color w:val="222222"/>
          <w:sz w:val="20"/>
          <w:szCs w:val="20"/>
          <w:rtl w:val="0"/>
        </w:rPr>
        <w:t xml:space="preserve">Emirates es la aerolínea internacional más grande del mundo y conecta a viajeros con más de 140 ciudades. Emirates opera la flota más grande del mundo de Boeing 777 y Airbus A380, y ahora opera el Airbus A350, que ofrece cabinas espaciosas y características icónicas a bordo en toda su flota. Con una plantilla culturalmente diversa, Emirates atiende a su base global de clientes ofreciendo servicios excepcionales y productos de primera clase, y se ha ganado el reconocimiento de sus clientes por sus servicios líderes en la industria, tanto en tierra como en el aire.</w:t>
      </w:r>
      <w:r w:rsidDel="00000000" w:rsidR="00000000" w:rsidRPr="00000000">
        <w:rPr>
          <w:rtl w:val="0"/>
        </w:rPr>
      </w:r>
    </w:p>
    <w:sectPr>
      <w:headerReference r:id="rId8"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entury Gothic" w:cs="Century Gothic" w:eastAsia="Century Gothic" w:hAnsi="Century Gothic"/>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val="1"/>
    <w:rsid w:val="004348AD"/>
    <w:pPr>
      <w:ind w:left="720"/>
      <w:contextualSpacing w:val="1"/>
    </w:pPr>
  </w:style>
  <w:style w:type="character" w:styleId="Hipervnculo">
    <w:name w:val="Hyperlink"/>
    <w:basedOn w:val="Fuentedeprrafopredeter"/>
    <w:uiPriority w:val="99"/>
    <w:unhideWhenUsed w:val="1"/>
    <w:rsid w:val="00D15796"/>
    <w:rPr>
      <w:color w:val="0000ff" w:themeColor="hyperlink"/>
      <w:u w:val="single"/>
    </w:rPr>
  </w:style>
  <w:style w:type="character" w:styleId="Mencinsinresolver1" w:customStyle="1">
    <w:name w:val="Mención sin resolver1"/>
    <w:basedOn w:val="Fuentedeprrafopredeter"/>
    <w:uiPriority w:val="99"/>
    <w:semiHidden w:val="1"/>
    <w:unhideWhenUsed w:val="1"/>
    <w:rsid w:val="007E7562"/>
    <w:rPr>
      <w:color w:val="605e5c"/>
      <w:shd w:color="auto" w:fill="e1dfdd" w:val="clear"/>
    </w:rPr>
  </w:style>
  <w:style w:type="character" w:styleId="Hipervnculovisitado">
    <w:name w:val="FollowedHyperlink"/>
    <w:basedOn w:val="Fuentedeprrafopredeter"/>
    <w:uiPriority w:val="99"/>
    <w:semiHidden w:val="1"/>
    <w:unhideWhenUsed w:val="1"/>
    <w:rsid w:val="007E7562"/>
    <w:rPr>
      <w:color w:val="800080" w:themeColor="followedHyperlink"/>
      <w:u w:val="single"/>
    </w:rPr>
  </w:style>
  <w:style w:type="paragraph" w:styleId="Encabezado">
    <w:name w:val="header"/>
    <w:basedOn w:val="Normal"/>
    <w:link w:val="EncabezadoCar"/>
    <w:uiPriority w:val="99"/>
    <w:unhideWhenUsed w:val="1"/>
    <w:rsid w:val="003E7D4F"/>
    <w:pPr>
      <w:tabs>
        <w:tab w:val="center" w:pos="4252"/>
        <w:tab w:val="right" w:pos="8504"/>
      </w:tabs>
    </w:pPr>
  </w:style>
  <w:style w:type="character" w:styleId="EncabezadoCar" w:customStyle="1">
    <w:name w:val="Encabezado Car"/>
    <w:basedOn w:val="Fuentedeprrafopredeter"/>
    <w:link w:val="Encabezado"/>
    <w:uiPriority w:val="99"/>
    <w:rsid w:val="003E7D4F"/>
  </w:style>
  <w:style w:type="paragraph" w:styleId="Piedepgina">
    <w:name w:val="footer"/>
    <w:basedOn w:val="Normal"/>
    <w:link w:val="PiedepginaCar"/>
    <w:uiPriority w:val="99"/>
    <w:unhideWhenUsed w:val="1"/>
    <w:rsid w:val="003E7D4F"/>
    <w:pPr>
      <w:tabs>
        <w:tab w:val="center" w:pos="4252"/>
        <w:tab w:val="right" w:pos="8504"/>
      </w:tabs>
    </w:pPr>
  </w:style>
  <w:style w:type="character" w:styleId="PiedepginaCar" w:customStyle="1">
    <w:name w:val="Pie de página Car"/>
    <w:basedOn w:val="Fuentedeprrafopredeter"/>
    <w:link w:val="Piedepgina"/>
    <w:uiPriority w:val="99"/>
    <w:rsid w:val="003E7D4F"/>
  </w:style>
  <w:style w:type="paragraph" w:styleId="NormalWeb">
    <w:name w:val="Normal (Web)"/>
    <w:basedOn w:val="Normal"/>
    <w:uiPriority w:val="99"/>
    <w:unhideWhenUsed w:val="1"/>
    <w:rsid w:val="001863FF"/>
    <w:pPr>
      <w:spacing w:after="100" w:afterAutospacing="1" w:before="100" w:beforeAutospacing="1"/>
    </w:pPr>
    <w:rPr>
      <w:rFonts w:ascii="Calibri" w:cs="Calibri" w:hAnsi="Calibri" w:eastAsiaTheme="minorHAnsi"/>
      <w:sz w:val="22"/>
      <w:szCs w:val="22"/>
      <w:lang w:val="en-GB"/>
    </w:rPr>
  </w:style>
  <w:style w:type="character" w:styleId="Textoennegrita">
    <w:name w:val="Strong"/>
    <w:basedOn w:val="Fuentedeprrafopredeter"/>
    <w:uiPriority w:val="22"/>
    <w:qFormat w:val="1"/>
    <w:rsid w:val="009368A3"/>
    <w:rPr>
      <w:b w:val="1"/>
      <w:bCs w:val="1"/>
    </w:rPr>
  </w:style>
  <w:style w:type="character" w:styleId="Mencinsinresolver">
    <w:name w:val="Unresolved Mention"/>
    <w:basedOn w:val="Fuentedeprrafopredeter"/>
    <w:uiPriority w:val="99"/>
    <w:semiHidden w:val="1"/>
    <w:unhideWhenUsed w:val="1"/>
    <w:rsid w:val="005647D6"/>
    <w:rPr>
      <w:color w:val="605e5c"/>
      <w:shd w:color="auto" w:fill="e1dfdd" w:val="clear"/>
    </w:rPr>
  </w:style>
  <w:style w:type="paragraph" w:styleId="Textocomentario">
    <w:name w:val="annotation text"/>
    <w:basedOn w:val="Normal"/>
    <w:link w:val="TextocomentarioCar"/>
    <w:uiPriority w:val="99"/>
    <w:semiHidden w:val="1"/>
    <w:unhideWhenUsed w:val="1"/>
    <w:rsid w:val="005647D6"/>
    <w:pPr>
      <w:spacing w:after="160"/>
    </w:pPr>
    <w:rPr>
      <w:rFonts w:asciiTheme="minorHAnsi" w:cstheme="minorBidi" w:eastAsiaTheme="minorEastAsia" w:hAnsiTheme="minorHAnsi"/>
      <w:sz w:val="20"/>
      <w:szCs w:val="20"/>
      <w:lang w:eastAsia="zh-CN" w:val="en-GB"/>
    </w:rPr>
  </w:style>
  <w:style w:type="character" w:styleId="TextocomentarioCar" w:customStyle="1">
    <w:name w:val="Texto comentario Car"/>
    <w:basedOn w:val="Fuentedeprrafopredeter"/>
    <w:link w:val="Textocomentario"/>
    <w:uiPriority w:val="99"/>
    <w:semiHidden w:val="1"/>
    <w:rsid w:val="005647D6"/>
    <w:rPr>
      <w:rFonts w:asciiTheme="minorHAnsi" w:cstheme="minorBidi" w:eastAsiaTheme="minorEastAsia" w:hAnsiTheme="minorHAnsi"/>
      <w:sz w:val="20"/>
      <w:szCs w:val="20"/>
      <w:lang w:eastAsia="zh-CN" w:val="en-GB"/>
    </w:rPr>
  </w:style>
  <w:style w:type="character" w:styleId="PrrafodelistaCar" w:customStyle="1">
    <w:name w:val="Párrafo de lista Car"/>
    <w:aliases w:val="numbered Car,Paragraphe de liste1 Car,Bullet List Car,FooterText Car"/>
    <w:basedOn w:val="Fuentedeprrafopredeter"/>
    <w:link w:val="Prrafodelista"/>
    <w:uiPriority w:val="34"/>
    <w:locked w:val="1"/>
    <w:rsid w:val="005647D6"/>
  </w:style>
  <w:style w:type="character" w:styleId="wordsection1Char" w:customStyle="1">
    <w:name w:val="wordsection1 Char"/>
    <w:basedOn w:val="Fuentedeprrafopredeter"/>
    <w:link w:val="wordsection1"/>
    <w:uiPriority w:val="99"/>
    <w:locked w:val="1"/>
    <w:rsid w:val="005647D6"/>
    <w:rPr>
      <w:rFonts w:ascii="Calibri" w:cs="Calibri" w:hAnsi="Calibri"/>
    </w:rPr>
  </w:style>
  <w:style w:type="paragraph" w:styleId="wordsection1" w:customStyle="1">
    <w:name w:val="wordsection1"/>
    <w:basedOn w:val="Normal"/>
    <w:link w:val="wordsection1Char"/>
    <w:uiPriority w:val="99"/>
    <w:rsid w:val="005647D6"/>
    <w:rPr>
      <w:rFonts w:ascii="Calibri" w:cs="Calibri" w:hAnsi="Calibri"/>
    </w:rPr>
  </w:style>
  <w:style w:type="character" w:styleId="Refdecomentario">
    <w:name w:val="annotation reference"/>
    <w:basedOn w:val="Fuentedeprrafopredeter"/>
    <w:uiPriority w:val="99"/>
    <w:semiHidden w:val="1"/>
    <w:unhideWhenUsed w:val="1"/>
    <w:rsid w:val="005647D6"/>
    <w:rPr>
      <w:sz w:val="16"/>
      <w:szCs w:val="16"/>
    </w:rPr>
  </w:style>
  <w:style w:type="character" w:styleId="normaltextrun" w:customStyle="1">
    <w:name w:val="normaltextrun"/>
    <w:basedOn w:val="Fuentedeprrafopredeter"/>
    <w:rsid w:val="005647D6"/>
  </w:style>
  <w:style w:type="table" w:styleId="a0" w:customStyle="1">
    <w:basedOn w:val="TableNormal0"/>
    <w:tblPr>
      <w:tblStyleRowBandSize w:val="1"/>
      <w:tblStyleColBandSize w:val="1"/>
    </w:tblPr>
  </w:style>
  <w:style w:type="character" w:styleId="nfasis">
    <w:name w:val="Emphasis"/>
    <w:basedOn w:val="Fuentedeprrafopredeter"/>
    <w:uiPriority w:val="20"/>
    <w:qFormat w:val="1"/>
    <w:rsid w:val="000D6301"/>
    <w:rPr>
      <w:i w:val="1"/>
      <w:i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mirates.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Og+BRbAqDp58GLhgQpDWNKCrg==">CgMxLjA4AGomChRzdWdnZXN0LndkdW8wNzNkZHVjYRIOQW5kcmVhIFJlYm9sbG9qJgoUc3VnZ2VzdC55MG0wamR3NmM4YmMSDkFuZHJlYSBSZWJvbGxvciExUzZ6aXRYOU1mT29VYmVTbW5RWlJIbFZLTjE1V01oVkM=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2025-09-09T08:57:00Z</dcterms:created>
  <dc:creator>Sergat</dc:creator>
</cp:coreProperties>
</file>