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ind w:hanging="2"/>
        <w:jc w:val="right"/>
        <w:rPr>
          <w:rFonts w:ascii="Century Gothic" w:cs="Century Gothic" w:eastAsia="Century Gothic" w:hAnsi="Century Gothic"/>
          <w:color w:val="000000"/>
        </w:rPr>
      </w:pPr>
      <w:r w:rsidDel="00000000" w:rsidR="00000000" w:rsidRPr="00000000">
        <w:rPr>
          <w:sz w:val="18"/>
          <w:szCs w:val="18"/>
        </w:rPr>
        <w:drawing>
          <wp:inline distB="114300" distT="114300" distL="114300" distR="114300">
            <wp:extent cx="1698724" cy="1380213"/>
            <wp:effectExtent b="0" l="0" r="0" t="0"/>
            <wp:docPr id="18"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698724" cy="1380213"/>
                    </a:xfrm>
                    <a:prstGeom prst="rect"/>
                    <a:ln/>
                  </pic:spPr>
                </pic:pic>
              </a:graphicData>
            </a:graphic>
          </wp:inline>
        </w:drawing>
      </w:r>
      <w:r w:rsidDel="00000000" w:rsidR="00000000" w:rsidRPr="00000000">
        <w:rPr>
          <w:rFonts w:ascii="Century Gothic" w:cs="Century Gothic" w:eastAsia="Century Gothic" w:hAnsi="Century Gothic"/>
          <w:b w:val="1"/>
          <w:color w:val="000000"/>
          <w:rtl w:val="0"/>
        </w:rPr>
        <w:t xml:space="preserve"> </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257175</wp:posOffset>
            </wp:positionV>
            <wp:extent cx="795020" cy="772160"/>
            <wp:effectExtent b="0" l="0" r="0" t="0"/>
            <wp:wrapNone/>
            <wp:docPr descr="*Logo_sergat_cubo" id="17" name="image2.jpg"/>
            <a:graphic>
              <a:graphicData uri="http://schemas.openxmlformats.org/drawingml/2006/picture">
                <pic:pic>
                  <pic:nvPicPr>
                    <pic:cNvPr descr="*Logo_sergat_cubo" id="0" name="image2.jpg"/>
                    <pic:cNvPicPr preferRelativeResize="0"/>
                  </pic:nvPicPr>
                  <pic:blipFill>
                    <a:blip r:embed="rId8"/>
                    <a:srcRect b="0" l="0" r="0" t="0"/>
                    <a:stretch>
                      <a:fillRect/>
                    </a:stretch>
                  </pic:blipFill>
                  <pic:spPr>
                    <a:xfrm>
                      <a:off x="0" y="0"/>
                      <a:ext cx="795020" cy="772160"/>
                    </a:xfrm>
                    <a:prstGeom prst="rect"/>
                    <a:ln/>
                  </pic:spPr>
                </pic:pic>
              </a:graphicData>
            </a:graphic>
          </wp:anchor>
        </w:drawing>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120" w:lineRule="auto"/>
        <w:ind w:hanging="2"/>
        <w:rPr>
          <w:rFonts w:ascii="Century Gothic" w:cs="Century Gothic" w:eastAsia="Century Gothic" w:hAnsi="Century Gothic"/>
          <w:color w:val="000000"/>
          <w:u w:val="single"/>
        </w:rPr>
      </w:pPr>
      <w:r w:rsidDel="00000000" w:rsidR="00000000" w:rsidRPr="00000000">
        <w:rPr>
          <w:rFonts w:ascii="Century Gothic" w:cs="Century Gothic" w:eastAsia="Century Gothic" w:hAnsi="Century Gothic"/>
          <w:b w:val="1"/>
          <w:color w:val="000000"/>
          <w:u w:val="single"/>
          <w:rtl w:val="0"/>
        </w:rPr>
        <w:t xml:space="preserve">COMUNICADO DE PRENSA</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120" w:lineRule="auto"/>
        <w:rPr>
          <w:rFonts w:ascii="Century Gothic" w:cs="Century Gothic" w:eastAsia="Century Gothic" w:hAnsi="Century Gothic"/>
          <w:color w:val="000000"/>
          <w:sz w:val="12"/>
          <w:szCs w:val="12"/>
          <w:u w:val="single"/>
        </w:rPr>
      </w:pPr>
      <w:r w:rsidDel="00000000" w:rsidR="00000000" w:rsidRPr="00000000">
        <w:rPr>
          <w:rtl w:val="0"/>
        </w:rPr>
      </w:r>
    </w:p>
    <w:p w:rsidR="00000000" w:rsidDel="00000000" w:rsidP="00000000" w:rsidRDefault="00000000" w:rsidRPr="00000000" w14:paraId="00000004">
      <w:pPr>
        <w:spacing w:line="360" w:lineRule="auto"/>
        <w:ind w:firstLine="0"/>
        <w:jc w:val="center"/>
        <w:rPr>
          <w:rFonts w:ascii="Century Gothic" w:cs="Century Gothic" w:eastAsia="Century Gothic" w:hAnsi="Century Gothic"/>
          <w:b w:val="1"/>
          <w:sz w:val="2"/>
          <w:szCs w:val="2"/>
        </w:rPr>
      </w:pPr>
      <w:r w:rsidDel="00000000" w:rsidR="00000000" w:rsidRPr="00000000">
        <w:rPr>
          <w:rtl w:val="0"/>
        </w:rPr>
      </w:r>
    </w:p>
    <w:p w:rsidR="00000000" w:rsidDel="00000000" w:rsidP="00000000" w:rsidRDefault="00000000" w:rsidRPr="00000000" w14:paraId="00000005">
      <w:pPr>
        <w:spacing w:line="360" w:lineRule="auto"/>
        <w:ind w:firstLine="0"/>
        <w:jc w:val="center"/>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Avistamiento de fauna salvaje a pie en Uganda: safaris inmersivos que conectan al viajero con lo más auténtico de África</w:t>
      </w:r>
    </w:p>
    <w:p w:rsidR="00000000" w:rsidDel="00000000" w:rsidP="00000000" w:rsidRDefault="00000000" w:rsidRPr="00000000" w14:paraId="00000006">
      <w:pPr>
        <w:spacing w:line="360" w:lineRule="auto"/>
        <w:ind w:firstLine="0"/>
        <w:jc w:val="center"/>
        <w:rPr>
          <w:rFonts w:ascii="Century Gothic" w:cs="Century Gothic" w:eastAsia="Century Gothic" w:hAnsi="Century Gothic"/>
          <w:b w:val="1"/>
          <w:sz w:val="12"/>
          <w:szCs w:val="12"/>
        </w:rPr>
      </w:pPr>
      <w:r w:rsidDel="00000000" w:rsidR="00000000" w:rsidRPr="00000000">
        <w:rPr>
          <w:rFonts w:ascii="Century Gothic" w:cs="Century Gothic" w:eastAsia="Century Gothic" w:hAnsi="Century Gothic"/>
          <w:b w:val="1"/>
          <w:sz w:val="24"/>
          <w:szCs w:val="24"/>
          <w:rtl w:val="0"/>
        </w:rPr>
        <w:t xml:space="preserve"> </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160" w:line="360" w:lineRule="auto"/>
        <w:ind w:left="720" w:firstLine="0"/>
        <w:jc w:val="center"/>
        <w:rPr>
          <w:rFonts w:ascii="Century Gothic" w:cs="Century Gothic" w:eastAsia="Century Gothic" w:hAnsi="Century Gothic"/>
          <w:i w:val="1"/>
          <w:sz w:val="20"/>
          <w:szCs w:val="20"/>
        </w:rPr>
      </w:pPr>
      <w:r w:rsidDel="00000000" w:rsidR="00000000" w:rsidRPr="00000000">
        <w:rPr>
          <w:rFonts w:ascii="Century Gothic" w:cs="Century Gothic" w:eastAsia="Century Gothic" w:hAnsi="Century Gothic"/>
          <w:i w:val="1"/>
          <w:sz w:val="20"/>
          <w:szCs w:val="20"/>
          <w:rtl w:val="0"/>
        </w:rPr>
        <w:t xml:space="preserve">-​​Home To Africa propone este </w:t>
      </w:r>
      <w:r w:rsidDel="00000000" w:rsidR="00000000" w:rsidRPr="00000000">
        <w:rPr>
          <w:rFonts w:ascii="Century Gothic" w:cs="Century Gothic" w:eastAsia="Century Gothic" w:hAnsi="Century Gothic"/>
          <w:i w:val="1"/>
          <w:sz w:val="20"/>
          <w:szCs w:val="20"/>
          <w:rtl w:val="0"/>
        </w:rPr>
        <w:t xml:space="preserve">tipo </w:t>
      </w:r>
      <w:r w:rsidDel="00000000" w:rsidR="00000000" w:rsidRPr="00000000">
        <w:rPr>
          <w:rFonts w:ascii="Century Gothic" w:cs="Century Gothic" w:eastAsia="Century Gothic" w:hAnsi="Century Gothic"/>
          <w:i w:val="1"/>
          <w:sz w:val="20"/>
          <w:szCs w:val="20"/>
          <w:rtl w:val="0"/>
        </w:rPr>
        <w:t xml:space="preserve">de </w:t>
      </w:r>
      <w:r w:rsidDel="00000000" w:rsidR="00000000" w:rsidRPr="00000000">
        <w:rPr>
          <w:rFonts w:ascii="Century Gothic" w:cs="Century Gothic" w:eastAsia="Century Gothic" w:hAnsi="Century Gothic"/>
          <w:i w:val="1"/>
          <w:sz w:val="20"/>
          <w:szCs w:val="20"/>
          <w:rtl w:val="0"/>
        </w:rPr>
        <w:t xml:space="preserve">experiencias </w:t>
      </w:r>
      <w:r w:rsidDel="00000000" w:rsidR="00000000" w:rsidRPr="00000000">
        <w:rPr>
          <w:rFonts w:ascii="Century Gothic" w:cs="Century Gothic" w:eastAsia="Century Gothic" w:hAnsi="Century Gothic"/>
          <w:i w:val="1"/>
          <w:sz w:val="20"/>
          <w:szCs w:val="20"/>
          <w:rtl w:val="0"/>
        </w:rPr>
        <w:t xml:space="preserve">en parques nacionales ugandeses como el </w:t>
      </w:r>
      <w:r w:rsidDel="00000000" w:rsidR="00000000" w:rsidRPr="00000000">
        <w:rPr>
          <w:rFonts w:ascii="Century Gothic" w:cs="Century Gothic" w:eastAsia="Century Gothic" w:hAnsi="Century Gothic"/>
          <w:i w:val="1"/>
          <w:sz w:val="20"/>
          <w:szCs w:val="20"/>
          <w:rtl w:val="0"/>
        </w:rPr>
        <w:t xml:space="preserve">Lago Mburo o Kidepo</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160" w:line="360" w:lineRule="auto"/>
        <w:ind w:left="720" w:firstLine="0"/>
        <w:jc w:val="center"/>
        <w:rPr>
          <w:rFonts w:ascii="Century Gothic" w:cs="Century Gothic" w:eastAsia="Century Gothic" w:hAnsi="Century Gothic"/>
          <w:i w:val="1"/>
          <w:sz w:val="20"/>
          <w:szCs w:val="20"/>
        </w:rPr>
      </w:pPr>
      <w:r w:rsidDel="00000000" w:rsidR="00000000" w:rsidRPr="00000000">
        <w:rPr>
          <w:rFonts w:ascii="Century Gothic" w:cs="Century Gothic" w:eastAsia="Century Gothic" w:hAnsi="Century Gothic"/>
          <w:i w:val="1"/>
          <w:sz w:val="20"/>
          <w:szCs w:val="20"/>
          <w:rtl w:val="0"/>
        </w:rPr>
        <w:t xml:space="preserve">-En estos parques </w:t>
      </w:r>
      <w:r w:rsidDel="00000000" w:rsidR="00000000" w:rsidRPr="00000000">
        <w:rPr>
          <w:rFonts w:ascii="Century Gothic" w:cs="Century Gothic" w:eastAsia="Century Gothic" w:hAnsi="Century Gothic"/>
          <w:i w:val="1"/>
          <w:sz w:val="20"/>
          <w:szCs w:val="20"/>
          <w:rtl w:val="0"/>
        </w:rPr>
        <w:t xml:space="preserve">es posible caminar entre jirafas, cebras o antílopes de la mano de operadores locales que garantizan la seguridad y la sostenibilidad</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160" w:line="360" w:lineRule="auto"/>
        <w:ind w:left="720" w:firstLine="0"/>
        <w:jc w:val="center"/>
        <w:rPr>
          <w:rFonts w:ascii="Century Gothic" w:cs="Century Gothic" w:eastAsia="Century Gothic" w:hAnsi="Century Gothic"/>
          <w:i w:val="1"/>
          <w:sz w:val="10"/>
          <w:szCs w:val="10"/>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360" w:lineRule="auto"/>
        <w:ind w:hanging="2"/>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sz w:val="20"/>
          <w:szCs w:val="20"/>
          <w:rtl w:val="0"/>
        </w:rPr>
        <w:t xml:space="preserve">Kampala, Uganda, 9 de septiembre</w:t>
      </w:r>
      <w:r w:rsidDel="00000000" w:rsidR="00000000" w:rsidRPr="00000000">
        <w:rPr>
          <w:rFonts w:ascii="Century Gothic" w:cs="Century Gothic" w:eastAsia="Century Gothic" w:hAnsi="Century Gothic"/>
          <w:b w:val="1"/>
          <w:color w:val="000000"/>
          <w:sz w:val="20"/>
          <w:szCs w:val="20"/>
          <w:rtl w:val="0"/>
        </w:rPr>
        <w:t xml:space="preserve"> de 202</w:t>
      </w:r>
      <w:r w:rsidDel="00000000" w:rsidR="00000000" w:rsidRPr="00000000">
        <w:rPr>
          <w:rFonts w:ascii="Century Gothic" w:cs="Century Gothic" w:eastAsia="Century Gothic" w:hAnsi="Century Gothic"/>
          <w:b w:val="1"/>
          <w:sz w:val="20"/>
          <w:szCs w:val="20"/>
          <w:rtl w:val="0"/>
        </w:rPr>
        <w:t xml:space="preserve">5</w:t>
      </w:r>
      <w:r w:rsidDel="00000000" w:rsidR="00000000" w:rsidRPr="00000000">
        <w:rPr>
          <w:rFonts w:ascii="Century Gothic" w:cs="Century Gothic" w:eastAsia="Century Gothic" w:hAnsi="Century Gothic"/>
          <w:b w:val="1"/>
          <w:color w:val="000000"/>
          <w:sz w:val="20"/>
          <w:szCs w:val="20"/>
          <w:rtl w:val="0"/>
        </w:rPr>
        <w:t xml:space="preserve"> </w:t>
      </w:r>
      <w:r w:rsidDel="00000000" w:rsidR="00000000" w:rsidRPr="00000000">
        <w:rPr>
          <w:rFonts w:ascii="Century Gothic" w:cs="Century Gothic" w:eastAsia="Century Gothic" w:hAnsi="Century Gothic"/>
          <w:b w:val="1"/>
          <w:sz w:val="20"/>
          <w:szCs w:val="20"/>
          <w:rtl w:val="0"/>
        </w:rPr>
        <w:t xml:space="preserve">-</w:t>
      </w:r>
      <w:r w:rsidDel="00000000" w:rsidR="00000000" w:rsidRPr="00000000">
        <w:rPr>
          <w:rtl w:val="0"/>
        </w:rPr>
        <w:t xml:space="preserve"> </w:t>
      </w:r>
      <w:r w:rsidDel="00000000" w:rsidR="00000000" w:rsidRPr="00000000">
        <w:rPr>
          <w:rFonts w:ascii="Century Gothic" w:cs="Century Gothic" w:eastAsia="Century Gothic" w:hAnsi="Century Gothic"/>
          <w:sz w:val="20"/>
          <w:szCs w:val="20"/>
          <w:rtl w:val="0"/>
        </w:rPr>
        <w:t xml:space="preserve">Mientras el safari tradicional a bordo de un </w:t>
      </w:r>
      <w:r w:rsidDel="00000000" w:rsidR="00000000" w:rsidRPr="00000000">
        <w:rPr>
          <w:rFonts w:ascii="Century Gothic" w:cs="Century Gothic" w:eastAsia="Century Gothic" w:hAnsi="Century Gothic"/>
          <w:i w:val="1"/>
          <w:sz w:val="20"/>
          <w:szCs w:val="20"/>
          <w:rtl w:val="0"/>
        </w:rPr>
        <w:t xml:space="preserve">jeep</w:t>
      </w:r>
      <w:r w:rsidDel="00000000" w:rsidR="00000000" w:rsidRPr="00000000">
        <w:rPr>
          <w:rFonts w:ascii="Century Gothic" w:cs="Century Gothic" w:eastAsia="Century Gothic" w:hAnsi="Century Gothic"/>
          <w:sz w:val="20"/>
          <w:szCs w:val="20"/>
          <w:rtl w:val="0"/>
        </w:rPr>
        <w:t xml:space="preserve"> o vehículo todoterreno ofrece una visión panorámica de la sabana, en Uganda, con agencias como Home To Africa*, se está consolidando una modalidad más sensorial y </w:t>
      </w:r>
      <w:r w:rsidDel="00000000" w:rsidR="00000000" w:rsidRPr="00000000">
        <w:rPr>
          <w:rFonts w:ascii="Century Gothic" w:cs="Century Gothic" w:eastAsia="Century Gothic" w:hAnsi="Century Gothic"/>
          <w:sz w:val="20"/>
          <w:szCs w:val="20"/>
          <w:rtl w:val="0"/>
        </w:rPr>
        <w:t xml:space="preserve">auténtica</w:t>
      </w:r>
      <w:r w:rsidDel="00000000" w:rsidR="00000000" w:rsidRPr="00000000">
        <w:rPr>
          <w:rFonts w:ascii="Century Gothic" w:cs="Century Gothic" w:eastAsia="Century Gothic" w:hAnsi="Century Gothic"/>
          <w:sz w:val="20"/>
          <w:szCs w:val="20"/>
          <w:rtl w:val="0"/>
        </w:rPr>
        <w:t xml:space="preserve">: el avistamiento de fauna a pie. Esta práctica, que permite experimentar la inmensidad del continente africano y de la fauna salvaje de manera más directa, se perfila como una de las vivencias ecoturísticas más únicas</w:t>
      </w:r>
      <w:r w:rsidDel="00000000" w:rsidR="00000000" w:rsidRPr="00000000">
        <w:rPr>
          <w:rFonts w:ascii="Century Gothic" w:cs="Century Gothic" w:eastAsia="Century Gothic" w:hAnsi="Century Gothic"/>
          <w:sz w:val="20"/>
          <w:szCs w:val="20"/>
          <w:rtl w:val="0"/>
        </w:rPr>
        <w:t xml:space="preserve"> para</w:t>
      </w:r>
      <w:r w:rsidDel="00000000" w:rsidR="00000000" w:rsidRPr="00000000">
        <w:rPr>
          <w:rFonts w:ascii="Century Gothic" w:cs="Century Gothic" w:eastAsia="Century Gothic" w:hAnsi="Century Gothic"/>
          <w:sz w:val="20"/>
          <w:szCs w:val="20"/>
          <w:rtl w:val="0"/>
        </w:rPr>
        <w:t xml:space="preserve"> los viajeros que buscan una conexión profunda y respetuosa con el entorno.</w:t>
      </w:r>
    </w:p>
    <w:p w:rsidR="00000000" w:rsidDel="00000000" w:rsidP="00000000" w:rsidRDefault="00000000" w:rsidRPr="00000000" w14:paraId="0000000B">
      <w:pPr>
        <w:spacing w:line="360" w:lineRule="auto"/>
        <w:ind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0C">
      <w:pPr>
        <w:spacing w:line="360" w:lineRule="auto"/>
        <w:ind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Lejos del ruido del motor de los </w:t>
      </w:r>
      <w:r w:rsidDel="00000000" w:rsidR="00000000" w:rsidRPr="00000000">
        <w:rPr>
          <w:rFonts w:ascii="Century Gothic" w:cs="Century Gothic" w:eastAsia="Century Gothic" w:hAnsi="Century Gothic"/>
          <w:i w:val="1"/>
          <w:sz w:val="20"/>
          <w:szCs w:val="20"/>
          <w:rtl w:val="0"/>
        </w:rPr>
        <w:t xml:space="preserve">jeeps</w:t>
      </w:r>
      <w:r w:rsidDel="00000000" w:rsidR="00000000" w:rsidRPr="00000000">
        <w:rPr>
          <w:rFonts w:ascii="Century Gothic" w:cs="Century Gothic" w:eastAsia="Century Gothic" w:hAnsi="Century Gothic"/>
          <w:sz w:val="20"/>
          <w:szCs w:val="20"/>
          <w:rtl w:val="0"/>
        </w:rPr>
        <w:t xml:space="preserve"> con los que se suelen llevar a cabo los safaris fotográficos, el silencio sólo se ve interrumpido por los sonidos de la naturaleza. Observar a pie a las jirafas que caminan en las acacias, a manadas de cebras o avistar imponentes búfalos a corta distancia, pero con todas las garantías, es una vivencia posible en parques nacionales ugandeses como el Lago Mburo, Kidepo, Kibale o Bwindi. Así lo indica </w:t>
      </w:r>
      <w:r w:rsidDel="00000000" w:rsidR="00000000" w:rsidRPr="00000000">
        <w:rPr>
          <w:rFonts w:ascii="Century Gothic" w:cs="Century Gothic" w:eastAsia="Century Gothic" w:hAnsi="Century Gothic"/>
          <w:b w:val="1"/>
          <w:sz w:val="20"/>
          <w:szCs w:val="20"/>
          <w:rtl w:val="0"/>
        </w:rPr>
        <w:t xml:space="preserve">Aryanyijuka Elias</w:t>
      </w:r>
      <w:r w:rsidDel="00000000" w:rsidR="00000000" w:rsidRPr="00000000">
        <w:rPr>
          <w:sz w:val="24"/>
          <w:szCs w:val="24"/>
          <w:rtl w:val="0"/>
        </w:rPr>
        <w:t xml:space="preserve">, </w:t>
      </w:r>
      <w:r w:rsidDel="00000000" w:rsidR="00000000" w:rsidRPr="00000000">
        <w:rPr>
          <w:rFonts w:ascii="Century Gothic" w:cs="Century Gothic" w:eastAsia="Century Gothic" w:hAnsi="Century Gothic"/>
          <w:sz w:val="20"/>
          <w:szCs w:val="20"/>
          <w:rtl w:val="0"/>
        </w:rPr>
        <w:t xml:space="preserve">director y fundador de Home To Africa, agencia local focalizada en organizar viajes personalizados en África Oriental y número uno en la clasificación regional en</w:t>
      </w:r>
      <w:hyperlink r:id="rId9">
        <w:r w:rsidDel="00000000" w:rsidR="00000000" w:rsidRPr="00000000">
          <w:rPr>
            <w:rFonts w:ascii="Century Gothic" w:cs="Century Gothic" w:eastAsia="Century Gothic" w:hAnsi="Century Gothic"/>
            <w:sz w:val="20"/>
            <w:szCs w:val="20"/>
            <w:rtl w:val="0"/>
          </w:rPr>
          <w:t xml:space="preserve"> </w:t>
        </w:r>
      </w:hyperlink>
      <w:hyperlink r:id="rId10">
        <w:r w:rsidDel="00000000" w:rsidR="00000000" w:rsidRPr="00000000">
          <w:rPr>
            <w:rFonts w:ascii="Century Gothic" w:cs="Century Gothic" w:eastAsia="Century Gothic" w:hAnsi="Century Gothic"/>
            <w:color w:val="0000ff"/>
            <w:sz w:val="20"/>
            <w:szCs w:val="20"/>
            <w:u w:val="single"/>
            <w:rtl w:val="0"/>
          </w:rPr>
          <w:t xml:space="preserve">TripAdvisor</w:t>
        </w:r>
      </w:hyperlink>
      <w:r w:rsidDel="00000000" w:rsidR="00000000" w:rsidRPr="00000000">
        <w:rPr>
          <w:rFonts w:ascii="Century Gothic" w:cs="Century Gothic" w:eastAsia="Century Gothic" w:hAnsi="Century Gothic"/>
          <w:sz w:val="20"/>
          <w:szCs w:val="20"/>
          <w:rtl w:val="0"/>
        </w:rPr>
        <w:t xml:space="preserve">. El Parque Nacional Lago Mburo destaca especialmente por su accesibilidad y por la alta densidad de especies, ofreciendo un escenario incomparable para esta actividad.</w:t>
      </w:r>
    </w:p>
    <w:p w:rsidR="00000000" w:rsidDel="00000000" w:rsidP="00000000" w:rsidRDefault="00000000" w:rsidRPr="00000000" w14:paraId="0000000D">
      <w:pPr>
        <w:spacing w:line="360" w:lineRule="auto"/>
        <w:ind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0E">
      <w:pPr>
        <w:spacing w:line="360" w:lineRule="auto"/>
        <w:ind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La seguridad y el cumplimiento de los estrictos protocolos de conservación son pilares fundamentales de esta experiencia. Este tipo de safari sólo puede realizarse a través de agencias de viajes locales autorizadas y con guías profesionales certificados. Estos expertos no solamente se encargan de obtener todos los permisos necesarios de las autoridades ugandesas, sino que garantizan tanto la seguridad de los visitantes como el bienestar de los animales, manteniendo siempre una distancia prudencial y asegurando que la presencia humana no altera el comportamiento natural de la fauna.</w:t>
      </w:r>
    </w:p>
    <w:p w:rsidR="00000000" w:rsidDel="00000000" w:rsidP="00000000" w:rsidRDefault="00000000" w:rsidRPr="00000000" w14:paraId="0000000F">
      <w:pPr>
        <w:spacing w:line="360" w:lineRule="auto"/>
        <w:ind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10">
      <w:pPr>
        <w:spacing w:line="360" w:lineRule="auto"/>
        <w:ind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Elias subraya el valor añadido de esta práctica: "El safari a pie supone una inmersión total. Representa la forma más pura de entender el ecosistema. El guía comparte conocimientos sobre las huellas, los sonidos, la vegetación y las interacciones entre especies, algo que desde un vehículo pasa desapercibido. Para nosotros, operar estos </w:t>
      </w:r>
      <w:r w:rsidDel="00000000" w:rsidR="00000000" w:rsidRPr="00000000">
        <w:rPr>
          <w:rFonts w:ascii="Century Gothic" w:cs="Century Gothic" w:eastAsia="Century Gothic" w:hAnsi="Century Gothic"/>
          <w:i w:val="1"/>
          <w:sz w:val="20"/>
          <w:szCs w:val="20"/>
          <w:rtl w:val="0"/>
        </w:rPr>
        <w:t xml:space="preserve">tours</w:t>
      </w:r>
      <w:r w:rsidDel="00000000" w:rsidR="00000000" w:rsidRPr="00000000">
        <w:rPr>
          <w:rFonts w:ascii="Century Gothic" w:cs="Century Gothic" w:eastAsia="Century Gothic" w:hAnsi="Century Gothic"/>
          <w:sz w:val="20"/>
          <w:szCs w:val="20"/>
          <w:rtl w:val="0"/>
        </w:rPr>
        <w:t xml:space="preserve"> con el máximo rigor es un compromiso con el turismo sostenible. Garantizamos que cada paseo se realiza respetando el medio ambiente y aportando beneficios directos a las comunidades locales".</w:t>
      </w:r>
    </w:p>
    <w:p w:rsidR="00000000" w:rsidDel="00000000" w:rsidP="00000000" w:rsidRDefault="00000000" w:rsidRPr="00000000" w14:paraId="00000011">
      <w:pPr>
        <w:spacing w:line="360" w:lineRule="auto"/>
        <w:ind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12">
      <w:pPr>
        <w:spacing w:line="360" w:lineRule="auto"/>
        <w:ind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Para vivir esta experiencia de manera segura y consciente, los expertos recuerdan la obligatoriedad de seguir en todo momento las instrucciones del guía. Se recomienda vestir con colores neutros que mimetizan con el entorno, calzado adecuado para caminar por terrenos irregulares y llevar prismáticos. El silencio es un compañero esencial durante el paseo, permitiendo una mayor observación y una integración no invasiva en el hábitat.</w:t>
      </w:r>
    </w:p>
    <w:p w:rsidR="00000000" w:rsidDel="00000000" w:rsidP="00000000" w:rsidRDefault="00000000" w:rsidRPr="00000000" w14:paraId="00000013">
      <w:pPr>
        <w:spacing w:line="360" w:lineRule="auto"/>
        <w:ind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4">
      <w:pPr>
        <w:spacing w:line="360" w:lineRule="auto"/>
        <w:ind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La temporada seca, que abarca los meses de junio a septiembre y de diciembre a febrero, es ideal para esta actividad, con mejores condiciones para el </w:t>
      </w:r>
      <w:r w:rsidDel="00000000" w:rsidR="00000000" w:rsidRPr="00000000">
        <w:rPr>
          <w:rFonts w:ascii="Century Gothic" w:cs="Century Gothic" w:eastAsia="Century Gothic" w:hAnsi="Century Gothic"/>
          <w:i w:val="1"/>
          <w:sz w:val="20"/>
          <w:szCs w:val="20"/>
          <w:rtl w:val="0"/>
        </w:rPr>
        <w:t xml:space="preserve">trekking</w:t>
      </w:r>
      <w:r w:rsidDel="00000000" w:rsidR="00000000" w:rsidRPr="00000000">
        <w:rPr>
          <w:rFonts w:ascii="Century Gothic" w:cs="Century Gothic" w:eastAsia="Century Gothic" w:hAnsi="Century Gothic"/>
          <w:sz w:val="20"/>
          <w:szCs w:val="20"/>
          <w:rtl w:val="0"/>
        </w:rPr>
        <w:t xml:space="preserve"> y una mayor concentración de fauna en los puntos de agua.</w:t>
      </w:r>
    </w:p>
    <w:p w:rsidR="00000000" w:rsidDel="00000000" w:rsidP="00000000" w:rsidRDefault="00000000" w:rsidRPr="00000000" w14:paraId="00000015">
      <w:pPr>
        <w:spacing w:line="360" w:lineRule="auto"/>
        <w:ind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16">
      <w:pPr>
        <w:spacing w:line="360" w:lineRule="auto"/>
        <w:ind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El avistamiento de fauna a pie en Uganda se consolida así como una modalidad de turismo de naturaleza responsable, que prioriza la calidad sobre la cantidad y que ofrece una perspectiva única del patrimonio natural de La Perla de África.</w:t>
      </w:r>
    </w:p>
    <w:p w:rsidR="00000000" w:rsidDel="00000000" w:rsidP="00000000" w:rsidRDefault="00000000" w:rsidRPr="00000000" w14:paraId="00000017">
      <w:pPr>
        <w:spacing w:line="360" w:lineRule="auto"/>
        <w:ind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8">
      <w:pPr>
        <w:spacing w:line="360" w:lineRule="auto"/>
        <w:ind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*Home To Africa cuenta con propuestas de safaris personalizados a Uganda desde tres a más de 12 días, dependiendo del interés del viajero. </w:t>
      </w:r>
    </w:p>
    <w:p w:rsidR="00000000" w:rsidDel="00000000" w:rsidP="00000000" w:rsidRDefault="00000000" w:rsidRPr="00000000" w14:paraId="00000019">
      <w:pPr>
        <w:spacing w:line="360" w:lineRule="auto"/>
        <w:ind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A">
      <w:pPr>
        <w:spacing w:line="360" w:lineRule="auto"/>
        <w:ind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Más información sobre safaris en Uganda: </w:t>
      </w:r>
      <w:hyperlink r:id="rId11">
        <w:r w:rsidDel="00000000" w:rsidR="00000000" w:rsidRPr="00000000">
          <w:rPr>
            <w:rFonts w:ascii="Century Gothic" w:cs="Century Gothic" w:eastAsia="Century Gothic" w:hAnsi="Century Gothic"/>
            <w:color w:val="1155cc"/>
            <w:sz w:val="20"/>
            <w:szCs w:val="20"/>
            <w:u w:val="single"/>
            <w:rtl w:val="0"/>
          </w:rPr>
          <w:t xml:space="preserve">https://hometoafrica.com/uganda-safaris/</w:t>
        </w:r>
      </w:hyperlink>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1B">
      <w:pPr>
        <w:spacing w:line="360" w:lineRule="auto"/>
        <w:ind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1C">
      <w:pPr>
        <w:ind w:hanging="2"/>
        <w:jc w:val="both"/>
        <w:rPr>
          <w:rFonts w:ascii="Century Gothic" w:cs="Century Gothic" w:eastAsia="Century Gothic" w:hAnsi="Century Gothic"/>
          <w:i w:val="1"/>
          <w:sz w:val="16"/>
          <w:szCs w:val="16"/>
        </w:rPr>
      </w:pPr>
      <w:r w:rsidDel="00000000" w:rsidR="00000000" w:rsidRPr="00000000">
        <w:rPr>
          <w:rFonts w:ascii="Century Gothic" w:cs="Century Gothic" w:eastAsia="Century Gothic" w:hAnsi="Century Gothic"/>
          <w:i w:val="1"/>
          <w:sz w:val="16"/>
          <w:szCs w:val="16"/>
          <w:rtl w:val="0"/>
        </w:rPr>
        <w:t xml:space="preserve">Información y reservas: </w:t>
      </w:r>
      <w:hyperlink r:id="rId12">
        <w:r w:rsidDel="00000000" w:rsidR="00000000" w:rsidRPr="00000000">
          <w:rPr>
            <w:rFonts w:ascii="Century Gothic" w:cs="Century Gothic" w:eastAsia="Century Gothic" w:hAnsi="Century Gothic"/>
            <w:i w:val="1"/>
            <w:color w:val="1155cc"/>
            <w:sz w:val="16"/>
            <w:szCs w:val="16"/>
            <w:u w:val="single"/>
            <w:rtl w:val="0"/>
          </w:rPr>
          <w:t xml:space="preserve">tour@hometoafrica.com</w:t>
        </w:r>
      </w:hyperlink>
      <w:r w:rsidDel="00000000" w:rsidR="00000000" w:rsidRPr="00000000">
        <w:rPr>
          <w:rFonts w:ascii="Century Gothic" w:cs="Century Gothic" w:eastAsia="Century Gothic" w:hAnsi="Century Gothic"/>
          <w:i w:val="1"/>
          <w:sz w:val="16"/>
          <w:szCs w:val="16"/>
          <w:rtl w:val="0"/>
        </w:rPr>
        <w:t xml:space="preserve"> ; </w:t>
      </w:r>
      <w:r w:rsidDel="00000000" w:rsidR="00000000" w:rsidRPr="00000000">
        <w:rPr>
          <w:rFonts w:ascii="Century Gothic" w:cs="Century Gothic" w:eastAsia="Century Gothic" w:hAnsi="Century Gothic"/>
          <w:i w:val="1"/>
          <w:color w:val="1155cc"/>
          <w:sz w:val="16"/>
          <w:szCs w:val="16"/>
          <w:u w:val="single"/>
          <w:rtl w:val="0"/>
        </w:rPr>
        <w:t xml:space="preserve">www.</w:t>
      </w:r>
      <w:hyperlink r:id="rId13">
        <w:r w:rsidDel="00000000" w:rsidR="00000000" w:rsidRPr="00000000">
          <w:rPr>
            <w:rFonts w:ascii="Century Gothic" w:cs="Century Gothic" w:eastAsia="Century Gothic" w:hAnsi="Century Gothic"/>
            <w:i w:val="1"/>
            <w:color w:val="1155cc"/>
            <w:sz w:val="16"/>
            <w:szCs w:val="16"/>
            <w:u w:val="single"/>
            <w:rtl w:val="0"/>
          </w:rPr>
          <w:t xml:space="preserve">hometoafrica.com</w:t>
        </w:r>
      </w:hyperlink>
      <w:r w:rsidDel="00000000" w:rsidR="00000000" w:rsidRPr="00000000">
        <w:rPr>
          <w:rtl w:val="0"/>
        </w:rPr>
      </w:r>
    </w:p>
    <w:p w:rsidR="00000000" w:rsidDel="00000000" w:rsidP="00000000" w:rsidRDefault="00000000" w:rsidRPr="00000000" w14:paraId="0000001D">
      <w:pPr>
        <w:ind w:hanging="2"/>
        <w:jc w:val="both"/>
        <w:rPr>
          <w:rFonts w:ascii="Century Gothic" w:cs="Century Gothic" w:eastAsia="Century Gothic" w:hAnsi="Century Gothic"/>
          <w:i w:val="1"/>
          <w:sz w:val="16"/>
          <w:szCs w:val="16"/>
        </w:rPr>
      </w:pPr>
      <w:r w:rsidDel="00000000" w:rsidR="00000000" w:rsidRPr="00000000">
        <w:rPr>
          <w:rtl w:val="0"/>
        </w:rPr>
      </w:r>
    </w:p>
    <w:p w:rsidR="00000000" w:rsidDel="00000000" w:rsidP="00000000" w:rsidRDefault="00000000" w:rsidRPr="00000000" w14:paraId="0000001E">
      <w:pPr>
        <w:spacing w:line="360" w:lineRule="auto"/>
        <w:ind w:hanging="2"/>
        <w:jc w:val="both"/>
        <w:rPr>
          <w:rFonts w:ascii="Century Gothic" w:cs="Century Gothic" w:eastAsia="Century Gothic" w:hAnsi="Century Gothic"/>
          <w:b w:val="1"/>
          <w:i w:val="1"/>
          <w:sz w:val="16"/>
          <w:szCs w:val="16"/>
        </w:rPr>
      </w:pPr>
      <w:r w:rsidDel="00000000" w:rsidR="00000000" w:rsidRPr="00000000">
        <w:rPr>
          <w:rtl w:val="0"/>
        </w:rPr>
      </w:r>
    </w:p>
    <w:p w:rsidR="00000000" w:rsidDel="00000000" w:rsidP="00000000" w:rsidRDefault="00000000" w:rsidRPr="00000000" w14:paraId="0000001F">
      <w:pPr>
        <w:spacing w:line="360" w:lineRule="auto"/>
        <w:ind w:hanging="2"/>
        <w:jc w:val="both"/>
        <w:rPr>
          <w:rFonts w:ascii="Century Gothic" w:cs="Century Gothic" w:eastAsia="Century Gothic" w:hAnsi="Century Gothic"/>
          <w:color w:val="0000ff"/>
          <w:sz w:val="16"/>
          <w:szCs w:val="16"/>
          <w:u w:val="single"/>
        </w:rPr>
      </w:pPr>
      <w:r w:rsidDel="00000000" w:rsidR="00000000" w:rsidRPr="00000000">
        <w:rPr>
          <w:rFonts w:ascii="Century Gothic" w:cs="Century Gothic" w:eastAsia="Century Gothic" w:hAnsi="Century Gothic"/>
          <w:b w:val="1"/>
          <w:i w:val="1"/>
          <w:sz w:val="16"/>
          <w:szCs w:val="16"/>
          <w:rtl w:val="0"/>
        </w:rPr>
        <w:t xml:space="preserve">Acerca de Home To Africa</w:t>
      </w:r>
      <w:r w:rsidDel="00000000" w:rsidR="00000000" w:rsidRPr="00000000">
        <w:rPr>
          <w:rtl w:val="0"/>
        </w:rPr>
      </w:r>
    </w:p>
    <w:p w:rsidR="00000000" w:rsidDel="00000000" w:rsidP="00000000" w:rsidRDefault="00000000" w:rsidRPr="00000000" w14:paraId="00000020">
      <w:pPr>
        <w:spacing w:after="160" w:lineRule="auto"/>
        <w:ind w:firstLine="0"/>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i w:val="1"/>
          <w:sz w:val="16"/>
          <w:szCs w:val="16"/>
          <w:rtl w:val="0"/>
        </w:rPr>
        <w:t xml:space="preserve">Home To Africa es una agencia de viajes especializada en turismo sostenible y experiencias auténticas en el continente africano, calificada como</w:t>
      </w:r>
      <w:hyperlink r:id="rId14">
        <w:r w:rsidDel="00000000" w:rsidR="00000000" w:rsidRPr="00000000">
          <w:rPr>
            <w:rFonts w:ascii="Century Gothic" w:cs="Century Gothic" w:eastAsia="Century Gothic" w:hAnsi="Century Gothic"/>
            <w:i w:val="1"/>
            <w:sz w:val="16"/>
            <w:szCs w:val="16"/>
            <w:rtl w:val="0"/>
          </w:rPr>
          <w:t xml:space="preserve"> </w:t>
        </w:r>
      </w:hyperlink>
      <w:hyperlink r:id="rId15">
        <w:r w:rsidDel="00000000" w:rsidR="00000000" w:rsidRPr="00000000">
          <w:rPr>
            <w:rFonts w:ascii="Century Gothic" w:cs="Century Gothic" w:eastAsia="Century Gothic" w:hAnsi="Century Gothic"/>
            <w:i w:val="1"/>
            <w:color w:val="0000ff"/>
            <w:sz w:val="16"/>
            <w:szCs w:val="16"/>
            <w:u w:val="single"/>
            <w:rtl w:val="0"/>
          </w:rPr>
          <w:t xml:space="preserve">número uno en la región en Trip Advisor</w:t>
        </w:r>
      </w:hyperlink>
      <w:r w:rsidDel="00000000" w:rsidR="00000000" w:rsidRPr="00000000">
        <w:rPr>
          <w:rFonts w:ascii="Century Gothic" w:cs="Century Gothic" w:eastAsia="Century Gothic" w:hAnsi="Century Gothic"/>
          <w:i w:val="1"/>
          <w:sz w:val="16"/>
          <w:szCs w:val="16"/>
          <w:rtl w:val="0"/>
        </w:rPr>
        <w:t xml:space="preserve">. La empresa, con sede en Kampala (Uganda), se distingue por diseñar itinerarios que combinan aventura, conservación y conexión cultural, siempre centrándose en el impacto positivo y el poder transformador del turismo. Home To Africa colabora estrechamente con comunidades locales, proyectos de conservación y alojamientos ecoresponsables para ofrecer viajes que respeten y enriquezcan el medio ambiente. La agencia opera con un modelo de total transparencia, garantizando que el 85 % de sus proveedores sean empresas africanas y destinando un porcentaje de cada reserva a iniciativas educativas, sanitarias y medioambientales en las regiones visitadas. Todo ello le ha valido a Home To Africa la distinción de ser reconocida por la Fundación E-4IMPACT como empresa de alto impacto social. Home To Africa es miembro profesional de American Society of Travel Agents (ASTA), Association of Uganda Tour Operators (AUTO), United States Tour Operator Association (USTOA) y está regulada por la Uganda Tourism Board (UTB).</w:t>
      </w:r>
      <w:r w:rsidDel="00000000" w:rsidR="00000000" w:rsidRPr="00000000">
        <w:rPr>
          <w:rtl w:val="0"/>
        </w:rPr>
      </w:r>
    </w:p>
    <w:p w:rsidR="00000000" w:rsidDel="00000000" w:rsidP="00000000" w:rsidRDefault="00000000" w:rsidRPr="00000000" w14:paraId="00000021">
      <w:pPr>
        <w:ind w:hanging="2"/>
        <w:rPr>
          <w:rFonts w:ascii="Century Gothic" w:cs="Century Gothic" w:eastAsia="Century Gothic" w:hAnsi="Century Gothic"/>
          <w:b w:val="1"/>
          <w:sz w:val="18"/>
          <w:szCs w:val="18"/>
        </w:rPr>
      </w:pPr>
      <w:r w:rsidDel="00000000" w:rsidR="00000000" w:rsidRPr="00000000">
        <w:rPr>
          <w:rtl w:val="0"/>
        </w:rPr>
      </w:r>
    </w:p>
    <w:p w:rsidR="00000000" w:rsidDel="00000000" w:rsidP="00000000" w:rsidRDefault="00000000" w:rsidRPr="00000000" w14:paraId="00000022">
      <w:pPr>
        <w:ind w:hanging="2"/>
        <w:rPr>
          <w:rFonts w:ascii="Century Gothic" w:cs="Century Gothic" w:eastAsia="Century Gothic" w:hAnsi="Century Gothic"/>
          <w:b w:val="1"/>
          <w:sz w:val="18"/>
          <w:szCs w:val="18"/>
        </w:rPr>
      </w:pPr>
      <w:r w:rsidDel="00000000" w:rsidR="00000000" w:rsidRPr="00000000">
        <w:rPr>
          <w:rFonts w:ascii="Century Gothic" w:cs="Century Gothic" w:eastAsia="Century Gothic" w:hAnsi="Century Gothic"/>
          <w:b w:val="1"/>
          <w:sz w:val="18"/>
          <w:szCs w:val="18"/>
          <w:rtl w:val="0"/>
        </w:rPr>
        <w:t xml:space="preserve">Contacto PR</w:t>
      </w:r>
    </w:p>
    <w:p w:rsidR="00000000" w:rsidDel="00000000" w:rsidP="00000000" w:rsidRDefault="00000000" w:rsidRPr="00000000" w14:paraId="00000023">
      <w:pPr>
        <w:ind w:hanging="2"/>
        <w:rPr>
          <w:rFonts w:ascii="Century Gothic" w:cs="Century Gothic" w:eastAsia="Century Gothic" w:hAnsi="Century Gothic"/>
          <w:b w:val="1"/>
          <w:sz w:val="18"/>
          <w:szCs w:val="18"/>
        </w:rPr>
      </w:pPr>
      <w:r w:rsidDel="00000000" w:rsidR="00000000" w:rsidRPr="00000000">
        <w:rPr>
          <w:rFonts w:ascii="Century Gothic" w:cs="Century Gothic" w:eastAsia="Century Gothic" w:hAnsi="Century Gothic"/>
          <w:sz w:val="18"/>
          <w:szCs w:val="18"/>
          <w:rtl w:val="0"/>
        </w:rPr>
        <w:t xml:space="preserve">Sergat</w:t>
      </w:r>
      <w:r w:rsidDel="00000000" w:rsidR="00000000" w:rsidRPr="00000000">
        <w:rPr>
          <w:rtl w:val="0"/>
        </w:rPr>
      </w:r>
    </w:p>
    <w:p w:rsidR="00000000" w:rsidDel="00000000" w:rsidP="00000000" w:rsidRDefault="00000000" w:rsidRPr="00000000" w14:paraId="00000024">
      <w:pPr>
        <w:ind w:hanging="2"/>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Agencia de comunicación y PR para España</w:t>
      </w:r>
    </w:p>
    <w:p w:rsidR="00000000" w:rsidDel="00000000" w:rsidP="00000000" w:rsidRDefault="00000000" w:rsidRPr="00000000" w14:paraId="00000025">
      <w:pPr>
        <w:ind w:hanging="2"/>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18"/>
          <w:szCs w:val="18"/>
          <w:rtl w:val="0"/>
        </w:rPr>
        <w:t xml:space="preserve">E-mail: </w:t>
      </w:r>
      <w:hyperlink r:id="rId16">
        <w:r w:rsidDel="00000000" w:rsidR="00000000" w:rsidRPr="00000000">
          <w:rPr>
            <w:rFonts w:ascii="Century Gothic" w:cs="Century Gothic" w:eastAsia="Century Gothic" w:hAnsi="Century Gothic"/>
            <w:color w:val="0000ff"/>
            <w:sz w:val="18"/>
            <w:szCs w:val="18"/>
            <w:u w:val="single"/>
            <w:rtl w:val="0"/>
          </w:rPr>
          <w:t xml:space="preserve">prensa@sergat.com</w:t>
        </w:r>
      </w:hyperlink>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26">
      <w:pPr>
        <w:ind w:hanging="2"/>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27">
      <w:pPr>
        <w:ind w:hanging="2"/>
        <w:rPr>
          <w:rFonts w:ascii="Century Gothic" w:cs="Century Gothic" w:eastAsia="Century Gothic" w:hAnsi="Century Gothic"/>
          <w:sz w:val="20"/>
          <w:szCs w:val="20"/>
        </w:rPr>
      </w:pPr>
      <w:r w:rsidDel="00000000" w:rsidR="00000000" w:rsidRPr="00000000">
        <w:rPr>
          <w:rtl w:val="0"/>
        </w:rPr>
      </w:r>
    </w:p>
    <w:sectPr>
      <w:headerReference r:id="rId17" w:type="default"/>
      <w:footerReference r:id="rId18" w:type="default"/>
      <w:pgSz w:h="15840" w:w="12240" w:orient="portrait"/>
      <w:pgMar w:bottom="941" w:top="921" w:left="1560" w:right="16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hanging="2"/>
      <w:jc w:val="right"/>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hanging="2"/>
      <w:rPr>
        <w:color w:val="000000"/>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hanging="2"/>
      <w:rPr>
        <w:color w:val="000000"/>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120" w:before="400" w:lineRule="auto"/>
    </w:pPr>
    <w:rPr>
      <w:color w:val="000000"/>
      <w:sz w:val="40"/>
      <w:szCs w:val="40"/>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120" w:before="360" w:lineRule="auto"/>
    </w:pPr>
    <w:rPr>
      <w:color w:val="000000"/>
      <w:sz w:val="32"/>
      <w:szCs w:val="32"/>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80" w:before="320" w:lineRule="auto"/>
    </w:pPr>
    <w:rPr>
      <w:color w:val="434343"/>
      <w:sz w:val="28"/>
      <w:szCs w:val="28"/>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80" w:before="280" w:lineRule="auto"/>
    </w:pPr>
    <w:rPr>
      <w:color w:val="666666"/>
      <w:sz w:val="24"/>
      <w:szCs w:val="24"/>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80" w:before="240" w:lineRule="auto"/>
    </w:pPr>
    <w:rPr>
      <w:color w:val="666666"/>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80" w:before="240" w:lineRule="auto"/>
    </w:pPr>
    <w:rPr>
      <w:i w:val="1"/>
      <w:color w:val="666666"/>
    </w:rPr>
  </w:style>
  <w:style w:type="paragraph" w:styleId="Title">
    <w:name w:val="Title"/>
    <w:basedOn w:val="Normal"/>
    <w:next w:val="Normal"/>
    <w:pPr>
      <w:keepNext w:val="1"/>
      <w:keepLines w:val="1"/>
      <w:pBdr>
        <w:top w:space="0" w:sz="0" w:val="nil"/>
        <w:left w:space="0" w:sz="0" w:val="nil"/>
        <w:bottom w:space="0" w:sz="0" w:val="nil"/>
        <w:right w:space="0" w:sz="0" w:val="nil"/>
        <w:between w:space="0" w:sz="0" w:val="nil"/>
      </w:pBdr>
      <w:spacing w:after="60" w:lineRule="auto"/>
    </w:pPr>
    <w:rPr>
      <w:color w:val="000000"/>
      <w:sz w:val="52"/>
      <w:szCs w:val="52"/>
    </w:rPr>
  </w:style>
  <w:style w:type="paragraph" w:styleId="Normal" w:default="1">
    <w:name w:val="normal"/>
  </w:style>
  <w:style w:type="table" w:styleId="TableNormal" w:default="1">
    <w:name w:val="TableNormal"/>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table" w:styleId="TableNormal5" w:customStyle="1">
    <w:name w:val="Table Normal"/>
    <w:tblPr>
      <w:tblCellMar>
        <w:top w:w="0.0" w:type="dxa"/>
        <w:left w:w="0.0" w:type="dxa"/>
        <w:bottom w:w="0.0" w:type="dxa"/>
        <w:right w:w="0.0" w:type="dxa"/>
      </w:tblCellMar>
    </w:tblPr>
  </w:style>
  <w:style w:type="table" w:styleId="TableNormal6" w:customStyle="1">
    <w:name w:val="Table Normal"/>
    <w:tblPr>
      <w:tblCellMar>
        <w:top w:w="0.0" w:type="dxa"/>
        <w:left w:w="0.0" w:type="dxa"/>
        <w:bottom w:w="0.0" w:type="dxa"/>
        <w:right w:w="0.0" w:type="dxa"/>
      </w:tblCellMar>
    </w:tblPr>
  </w:style>
  <w:style w:type="table" w:styleId="TableNormal7" w:customStyle="1">
    <w:name w:val="Table Normal"/>
    <w:tblPr>
      <w:tblCellMar>
        <w:top w:w="0.0" w:type="dxa"/>
        <w:left w:w="0.0" w:type="dxa"/>
        <w:bottom w:w="0.0" w:type="dxa"/>
        <w:right w:w="0.0" w:type="dxa"/>
      </w:tblCellMar>
    </w:tblPr>
  </w:style>
  <w:style w:type="table" w:styleId="TableNormal8" w:customStyle="1">
    <w:name w:val="Table Normal"/>
    <w:tblPr>
      <w:tblCellMar>
        <w:top w:w="0.0" w:type="dxa"/>
        <w:left w:w="0.0" w:type="dxa"/>
        <w:bottom w:w="0.0" w:type="dxa"/>
        <w:right w:w="0.0" w:type="dxa"/>
      </w:tblCellMar>
    </w:tblPr>
  </w:style>
  <w:style w:type="table" w:styleId="TableNormal9" w:customStyle="1">
    <w:name w:val="Table Normal"/>
    <w:next w:val="TableNormal8"/>
    <w:pPr>
      <w:suppressAutoHyphens w:val="1"/>
      <w:ind w:left="-1" w:leftChars="-1" w:hangingChars="1"/>
      <w:textDirection w:val="btLr"/>
      <w:textAlignment w:val="top"/>
      <w:outlineLvl w:val="0"/>
    </w:pPr>
    <w:rPr>
      <w:position w:val="-1"/>
      <w:lang w:eastAsia="es-ES"/>
    </w:rPr>
    <w:tblPr>
      <w:tblCellMar>
        <w:top w:w="0.0" w:type="dxa"/>
        <w:left w:w="0.0" w:type="dxa"/>
        <w:bottom w:w="0.0" w:type="dxa"/>
        <w:right w:w="0.0" w:type="dxa"/>
      </w:tblCellMar>
    </w:tblPr>
  </w:style>
  <w:style w:type="table" w:styleId="a" w:customStyle="1">
    <w:basedOn w:val="TableNormal9"/>
    <w:pPr>
      <w:spacing w:line="240" w:lineRule="auto"/>
    </w:pPr>
    <w:rPr>
      <w:rFonts w:ascii="Calibri" w:cs="Calibri" w:eastAsia="Calibri" w:hAnsi="Calibri"/>
      <w:sz w:val="20"/>
      <w:szCs w:val="20"/>
    </w:rPr>
    <w:tblPr>
      <w:tblStyleRowBandSize w:val="1"/>
      <w:tblStyleColBandSize w:val="1"/>
      <w:tblCellMar>
        <w:left w:w="108.0" w:type="dxa"/>
        <w:right w:w="108.0" w:type="dxa"/>
      </w:tblCellMar>
    </w:tblPr>
  </w:style>
  <w:style w:type="table" w:styleId="a0" w:customStyle="1">
    <w:basedOn w:val="TableNormal9"/>
    <w:pPr>
      <w:spacing w:line="240" w:lineRule="auto"/>
    </w:pPr>
    <w:rPr>
      <w:rFonts w:ascii="Calibri" w:cs="Calibri" w:eastAsia="Calibri" w:hAnsi="Calibri"/>
      <w:sz w:val="20"/>
      <w:szCs w:val="20"/>
    </w:rPr>
    <w:tblPr>
      <w:tblStyleRowBandSize w:val="1"/>
      <w:tblStyleColBandSize w:val="1"/>
      <w:tblCellMar>
        <w:left w:w="108.0" w:type="dxa"/>
        <w:right w:w="108.0" w:type="dxa"/>
      </w:tblCellMar>
    </w:tblPr>
  </w:style>
  <w:style w:type="table" w:styleId="a1" w:customStyle="1">
    <w:basedOn w:val="TableNormal9"/>
    <w:pPr>
      <w:spacing w:line="240" w:lineRule="auto"/>
    </w:pPr>
    <w:rPr>
      <w:rFonts w:ascii="Calibri" w:cs="Calibri" w:eastAsia="Calibri" w:hAnsi="Calibri"/>
      <w:sz w:val="20"/>
      <w:szCs w:val="20"/>
    </w:rPr>
    <w:tblPr>
      <w:tblStyleRowBandSize w:val="1"/>
      <w:tblStyleColBandSize w:val="1"/>
      <w:tblCellMar>
        <w:left w:w="108.0" w:type="dxa"/>
        <w:right w:w="108.0" w:type="dxa"/>
      </w:tblCellMar>
    </w:tblPr>
  </w:style>
  <w:style w:type="table" w:styleId="a2" w:customStyle="1">
    <w:basedOn w:val="TableNormal9"/>
    <w:pPr>
      <w:spacing w:line="240" w:lineRule="auto"/>
    </w:pPr>
    <w:rPr>
      <w:rFonts w:ascii="Calibri" w:cs="Calibri" w:eastAsia="Calibri" w:hAnsi="Calibri"/>
      <w:sz w:val="20"/>
      <w:szCs w:val="20"/>
    </w:rPr>
    <w:tblPr>
      <w:tblStyleRowBandSize w:val="1"/>
      <w:tblStyleColBandSize w:val="1"/>
      <w:tblCellMar>
        <w:left w:w="108.0" w:type="dxa"/>
        <w:right w:w="108.0" w:type="dxa"/>
      </w:tblCellMar>
    </w:tblPr>
  </w:style>
  <w:style w:type="paragraph" w:styleId="NormalWeb">
    <w:name w:val="Normal (Web)"/>
    <w:basedOn w:val="Normal"/>
    <w:uiPriority w:val="99"/>
    <w:qFormat w:val="1"/>
    <w:pPr>
      <w:spacing w:after="100" w:afterAutospacing="1" w:before="100" w:beforeAutospacing="1" w:line="240" w:lineRule="auto"/>
    </w:pPr>
    <w:rPr>
      <w:rFonts w:ascii="Times New Roman" w:cs="Times New Roman" w:eastAsia="Times New Roman" w:hAnsi="Times New Roman"/>
      <w:sz w:val="24"/>
      <w:szCs w:val="24"/>
      <w:lang w:eastAsia="es-AR" w:val="es-AR"/>
    </w:rPr>
  </w:style>
  <w:style w:type="character" w:styleId="nfasis">
    <w:name w:val="Emphasis"/>
    <w:uiPriority w:val="20"/>
    <w:qFormat w:val="1"/>
    <w:rPr>
      <w:i w:val="1"/>
      <w:iCs w:val="1"/>
      <w:w w:val="100"/>
      <w:position w:val="-1"/>
      <w:effect w:val="none"/>
      <w:vertAlign w:val="baseline"/>
      <w:cs w:val="0"/>
      <w:em w:val="none"/>
    </w:rPr>
  </w:style>
  <w:style w:type="paragraph" w:styleId="Textosinformato">
    <w:name w:val="Plain Text"/>
    <w:basedOn w:val="Normal"/>
    <w:qFormat w:val="1"/>
    <w:pPr>
      <w:spacing w:line="240" w:lineRule="auto"/>
    </w:pPr>
    <w:rPr>
      <w:rFonts w:ascii="Consolas" w:cs="Times New Roman" w:eastAsia="Calibri" w:hAnsi="Consolas"/>
      <w:sz w:val="21"/>
      <w:szCs w:val="21"/>
      <w:lang w:eastAsia="en-US" w:val="en-US"/>
    </w:rPr>
  </w:style>
  <w:style w:type="character" w:styleId="TextosinformatoCar" w:customStyle="1">
    <w:name w:val="Texto sin formato Car"/>
    <w:rPr>
      <w:rFonts w:ascii="Consolas" w:cs="Times New Roman" w:eastAsia="Calibri" w:hAnsi="Consolas"/>
      <w:w w:val="100"/>
      <w:position w:val="-1"/>
      <w:sz w:val="21"/>
      <w:szCs w:val="21"/>
      <w:effect w:val="none"/>
      <w:vertAlign w:val="baseline"/>
      <w:cs w:val="0"/>
      <w:em w:val="none"/>
      <w:lang w:eastAsia="en-US" w:val="en-US"/>
    </w:rPr>
  </w:style>
  <w:style w:type="table" w:styleId="Tabladecuadrcula4">
    <w:name w:val="Grid Table 4"/>
    <w:basedOn w:val="Tablanormal"/>
    <w:pPr>
      <w:suppressAutoHyphens w:val="1"/>
      <w:spacing w:line="1" w:lineRule="atLeast"/>
      <w:ind w:left="-1" w:leftChars="-1" w:hangingChars="1"/>
      <w:textDirection w:val="btLr"/>
      <w:textAlignment w:val="top"/>
      <w:outlineLvl w:val="0"/>
    </w:pPr>
    <w:rPr>
      <w:rFonts w:ascii="Calibri" w:cs="Times New Roman" w:eastAsia="Calibri" w:hAnsi="Calibri"/>
      <w:position w:val="-1"/>
      <w:lang w:eastAsia="en-US" w:val="en-US"/>
    </w:rPr>
    <w:tblPr>
      <w:tblStyleRowBandSize w:val="1"/>
      <w:tblStyleColBandSize w:val="1"/>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Pr>
  </w:style>
  <w:style w:type="paragraph" w:styleId="Prrafodelista">
    <w:name w:val="List Paragraph"/>
    <w:basedOn w:val="Normal"/>
    <w:pPr>
      <w:ind w:left="708"/>
    </w:pPr>
  </w:style>
  <w:style w:type="table" w:styleId="a3" w:customStyle="1">
    <w:basedOn w:val="TableNormal9"/>
    <w:tblPr>
      <w:tblStyleRowBandSize w:val="1"/>
      <w:tblStyleColBandSize w:val="1"/>
      <w:tblCellMar>
        <w:top w:w="100.0" w:type="dxa"/>
        <w:left w:w="100.0" w:type="dxa"/>
        <w:bottom w:w="100.0" w:type="dxa"/>
        <w:right w:w="100.0" w:type="dxa"/>
      </w:tblCellMar>
    </w:tblPr>
  </w:style>
  <w:style w:type="table" w:styleId="a4" w:customStyle="1">
    <w:basedOn w:val="TableNormal9"/>
    <w:tblPr>
      <w:tblStyleRowBandSize w:val="1"/>
      <w:tblStyleColBandSize w:val="1"/>
      <w:tblCellMar>
        <w:top w:w="100.0" w:type="dxa"/>
        <w:left w:w="100.0" w:type="dxa"/>
        <w:bottom w:w="100.0" w:type="dxa"/>
        <w:right w:w="100.0" w:type="dxa"/>
      </w:tblCellMar>
    </w:tblPr>
  </w:style>
  <w:style w:type="table" w:styleId="a5" w:customStyle="1">
    <w:basedOn w:val="TableNormal9"/>
    <w:tblPr>
      <w:tblStyleRowBandSize w:val="1"/>
      <w:tblStyleColBandSize w:val="1"/>
      <w:tblCellMar>
        <w:top w:w="100.0" w:type="dxa"/>
        <w:left w:w="100.0" w:type="dxa"/>
        <w:bottom w:w="100.0" w:type="dxa"/>
        <w:right w:w="100.0" w:type="dxa"/>
      </w:tblCellMar>
    </w:tblPr>
  </w:style>
  <w:style w:type="table" w:styleId="a6" w:customStyle="1">
    <w:basedOn w:val="TableNormal9"/>
    <w:tblPr>
      <w:tblStyleRowBandSize w:val="1"/>
      <w:tblStyleColBandSize w:val="1"/>
      <w:tblCellMar>
        <w:top w:w="100.0" w:type="dxa"/>
        <w:left w:w="100.0" w:type="dxa"/>
        <w:bottom w:w="100.0" w:type="dxa"/>
        <w:right w:w="100.0" w:type="dxa"/>
      </w:tblCellMar>
    </w:tblPr>
  </w:style>
  <w:style w:type="character" w:styleId="Hipervnculo">
    <w:name w:val="Hyperlink"/>
    <w:basedOn w:val="Fuentedeprrafopredeter"/>
    <w:uiPriority w:val="99"/>
    <w:unhideWhenUsed w:val="1"/>
    <w:rsid w:val="001C5844"/>
    <w:rPr>
      <w:color w:val="0000ff" w:themeColor="hyperlink"/>
      <w:u w:val="single"/>
    </w:rPr>
  </w:style>
  <w:style w:type="character" w:styleId="Mencinsinresolver">
    <w:name w:val="Unresolved Mention"/>
    <w:basedOn w:val="Fuentedeprrafopredeter"/>
    <w:uiPriority w:val="99"/>
    <w:semiHidden w:val="1"/>
    <w:unhideWhenUsed w:val="1"/>
    <w:rsid w:val="001C5844"/>
    <w:rPr>
      <w:color w:val="605e5c"/>
      <w:shd w:color="auto" w:fill="e1dfdd" w:val="clear"/>
    </w:rPr>
  </w:style>
  <w:style w:type="character" w:styleId="Hipervnculovisitado">
    <w:name w:val="FollowedHyperlink"/>
    <w:basedOn w:val="Fuentedeprrafopredeter"/>
    <w:uiPriority w:val="99"/>
    <w:semiHidden w:val="1"/>
    <w:unhideWhenUsed w:val="1"/>
    <w:rsid w:val="001C5844"/>
    <w:rPr>
      <w:color w:val="800080" w:themeColor="followed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hometoafrica.com/uganda-safaris/" TargetMode="External"/><Relationship Id="rId10" Type="http://schemas.openxmlformats.org/officeDocument/2006/relationships/hyperlink" Target="https://www.tripadvisor.com/Attraction_Review-g293841-d10801982-Reviews-Home_to_Africa_Tours_and_Travel-Kampala_Central_Region.html" TargetMode="External"/><Relationship Id="rId13" Type="http://schemas.openxmlformats.org/officeDocument/2006/relationships/hyperlink" Target="https://hometoafrica.com/" TargetMode="External"/><Relationship Id="rId12" Type="http://schemas.openxmlformats.org/officeDocument/2006/relationships/hyperlink" Target="mailto:tour@hometoafrica.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ripadvisor.com/Attraction_Review-g293841-d10801982-Reviews-Home_to_Africa_Tours_and_Travel-Kampala_Central_Region.html" TargetMode="External"/><Relationship Id="rId15" Type="http://schemas.openxmlformats.org/officeDocument/2006/relationships/hyperlink" Target="https://www.tripadvisor.com/Attraction_Review-g293841-d10801982-Reviews-Home_to_Africa_Tours_and_Travel-Kampala_Central_Region.html" TargetMode="External"/><Relationship Id="rId14" Type="http://schemas.openxmlformats.org/officeDocument/2006/relationships/hyperlink" Target="https://www.tripadvisor.com/Attraction_Review-g293841-d10801982-Reviews-Home_to_Africa_Tours_and_Travel-Kampala_Central_Region.html" TargetMode="External"/><Relationship Id="rId17" Type="http://schemas.openxmlformats.org/officeDocument/2006/relationships/header" Target="header1.xml"/><Relationship Id="rId16" Type="http://schemas.openxmlformats.org/officeDocument/2006/relationships/hyperlink" Target="mailto:prensa@sergat.com"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image" Target="media/image1.jp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Fl62MB+X0DYomFvmJxt0QZR0aQ==">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2025-03-31T08:10:00Z</dcterms:created>
  <dc:creator>Sergat</dc:creator>
</cp:coreProperties>
</file>