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0AC44" w14:textId="77777777" w:rsidR="003F3347" w:rsidRDefault="00000000">
      <w:pPr>
        <w:pBdr>
          <w:top w:val="nil"/>
          <w:left w:val="nil"/>
          <w:bottom w:val="nil"/>
          <w:right w:val="nil"/>
          <w:between w:val="nil"/>
        </w:pBdr>
        <w:ind w:hanging="2"/>
        <w:rPr>
          <w:color w:val="000000"/>
          <w:sz w:val="18"/>
          <w:szCs w:val="18"/>
        </w:rPr>
      </w:pPr>
      <w:r>
        <w:rPr>
          <w:noProof/>
        </w:rPr>
        <w:drawing>
          <wp:anchor distT="0" distB="0" distL="114300" distR="114300" simplePos="0" relativeHeight="251658240" behindDoc="0" locked="0" layoutInCell="1" hidden="0" allowOverlap="1" wp14:anchorId="792BB5E9" wp14:editId="1CEEAC87">
            <wp:simplePos x="0" y="0"/>
            <wp:positionH relativeFrom="column">
              <wp:posOffset>3522345</wp:posOffset>
            </wp:positionH>
            <wp:positionV relativeFrom="paragraph">
              <wp:posOffset>635</wp:posOffset>
            </wp:positionV>
            <wp:extent cx="2286000" cy="390525"/>
            <wp:effectExtent l="0" t="0" r="0" b="0"/>
            <wp:wrapSquare wrapText="bothSides" distT="0" distB="0" distL="114300" distR="11430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286000" cy="390525"/>
                    </a:xfrm>
                    <a:prstGeom prst="rect">
                      <a:avLst/>
                    </a:prstGeom>
                    <a:ln/>
                  </pic:spPr>
                </pic:pic>
              </a:graphicData>
            </a:graphic>
          </wp:anchor>
        </w:drawing>
      </w:r>
    </w:p>
    <w:p w14:paraId="54AD6366" w14:textId="77777777" w:rsidR="003F3347" w:rsidRDefault="00000000">
      <w:pPr>
        <w:pBdr>
          <w:top w:val="nil"/>
          <w:left w:val="nil"/>
          <w:bottom w:val="nil"/>
          <w:right w:val="nil"/>
          <w:between w:val="nil"/>
        </w:pBdr>
        <w:ind w:hanging="2"/>
        <w:jc w:val="right"/>
        <w:rPr>
          <w:color w:val="000000"/>
          <w:sz w:val="18"/>
          <w:szCs w:val="18"/>
        </w:rPr>
      </w:pPr>
      <w:r>
        <w:rPr>
          <w:color w:val="000000"/>
          <w:sz w:val="18"/>
          <w:szCs w:val="18"/>
        </w:rPr>
        <w:t xml:space="preserve">  </w:t>
      </w:r>
    </w:p>
    <w:p w14:paraId="1ACB30D4" w14:textId="77777777" w:rsidR="003F3347" w:rsidRDefault="003F3347">
      <w:pPr>
        <w:pBdr>
          <w:top w:val="nil"/>
          <w:left w:val="nil"/>
          <w:bottom w:val="nil"/>
          <w:right w:val="nil"/>
          <w:between w:val="nil"/>
        </w:pBdr>
        <w:ind w:hanging="2"/>
        <w:jc w:val="right"/>
        <w:rPr>
          <w:color w:val="000000"/>
          <w:sz w:val="18"/>
          <w:szCs w:val="18"/>
        </w:rPr>
      </w:pPr>
    </w:p>
    <w:p w14:paraId="001CE74C" w14:textId="77777777" w:rsidR="003F3347" w:rsidRDefault="00000000">
      <w:pPr>
        <w:pBdr>
          <w:top w:val="nil"/>
          <w:left w:val="nil"/>
          <w:bottom w:val="nil"/>
          <w:right w:val="nil"/>
          <w:between w:val="nil"/>
        </w:pBdr>
        <w:ind w:hanging="2"/>
        <w:jc w:val="right"/>
        <w:rPr>
          <w:color w:val="000000"/>
          <w:sz w:val="18"/>
          <w:szCs w:val="18"/>
        </w:rPr>
      </w:pPr>
      <w:r>
        <w:rPr>
          <w:color w:val="000000"/>
          <w:sz w:val="18"/>
          <w:szCs w:val="18"/>
        </w:rPr>
        <w:t>Reservas España, Tel. 91 375 41 46</w:t>
      </w:r>
    </w:p>
    <w:p w14:paraId="6FE1FD83" w14:textId="77777777" w:rsidR="003F3347" w:rsidRDefault="00000000">
      <w:pPr>
        <w:pBdr>
          <w:top w:val="nil"/>
          <w:left w:val="nil"/>
          <w:bottom w:val="nil"/>
          <w:right w:val="nil"/>
          <w:between w:val="nil"/>
        </w:pBdr>
        <w:ind w:hanging="2"/>
        <w:jc w:val="right"/>
        <w:rPr>
          <w:color w:val="0000FF"/>
          <w:sz w:val="18"/>
          <w:szCs w:val="18"/>
          <w:u w:val="single"/>
        </w:rPr>
      </w:pPr>
      <w:r>
        <w:rPr>
          <w:color w:val="000000"/>
          <w:sz w:val="18"/>
          <w:szCs w:val="18"/>
        </w:rPr>
        <w:t xml:space="preserve">Web: </w:t>
      </w:r>
      <w:r>
        <w:rPr>
          <w:color w:val="0000FF"/>
          <w:sz w:val="18"/>
          <w:szCs w:val="18"/>
          <w:u w:val="single"/>
        </w:rPr>
        <w:t>www.delta.com</w:t>
      </w:r>
    </w:p>
    <w:p w14:paraId="4BC77F8E" w14:textId="77777777" w:rsidR="003F3347" w:rsidRDefault="003F3347">
      <w:pPr>
        <w:pBdr>
          <w:top w:val="nil"/>
          <w:left w:val="nil"/>
          <w:bottom w:val="nil"/>
          <w:right w:val="nil"/>
          <w:between w:val="nil"/>
        </w:pBdr>
        <w:ind w:hanging="2"/>
        <w:rPr>
          <w:color w:val="000000"/>
          <w:sz w:val="18"/>
          <w:szCs w:val="18"/>
        </w:rPr>
      </w:pPr>
    </w:p>
    <w:p w14:paraId="3F754121" w14:textId="77777777" w:rsidR="003F3347" w:rsidRDefault="00000000">
      <w:pPr>
        <w:pBdr>
          <w:top w:val="nil"/>
          <w:left w:val="nil"/>
          <w:bottom w:val="nil"/>
          <w:right w:val="nil"/>
          <w:between w:val="nil"/>
        </w:pBdr>
        <w:ind w:hanging="2"/>
        <w:rPr>
          <w:rFonts w:ascii="Century Gothic" w:eastAsia="Century Gothic" w:hAnsi="Century Gothic" w:cs="Century Gothic"/>
          <w:color w:val="000000"/>
          <w:sz w:val="18"/>
          <w:szCs w:val="18"/>
        </w:rPr>
      </w:pPr>
      <w:proofErr w:type="spellStart"/>
      <w:r>
        <w:rPr>
          <w:rFonts w:ascii="Century Gothic" w:eastAsia="Century Gothic" w:hAnsi="Century Gothic" w:cs="Century Gothic"/>
          <w:color w:val="000000"/>
          <w:sz w:val="18"/>
          <w:szCs w:val="18"/>
        </w:rPr>
        <w:t>Sergat</w:t>
      </w:r>
      <w:proofErr w:type="spellEnd"/>
    </w:p>
    <w:p w14:paraId="105060F7" w14:textId="77777777" w:rsidR="003F3347" w:rsidRDefault="00000000">
      <w:pPr>
        <w:pBdr>
          <w:top w:val="nil"/>
          <w:left w:val="nil"/>
          <w:bottom w:val="nil"/>
          <w:right w:val="nil"/>
          <w:between w:val="nil"/>
        </w:pBdr>
        <w:ind w:hanging="2"/>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Tel.: 93 414 02 10</w:t>
      </w:r>
    </w:p>
    <w:p w14:paraId="76A48C43" w14:textId="77777777" w:rsidR="003F3347" w:rsidRDefault="00000000">
      <w:pPr>
        <w:pBdr>
          <w:top w:val="nil"/>
          <w:left w:val="nil"/>
          <w:bottom w:val="nil"/>
          <w:right w:val="nil"/>
          <w:between w:val="nil"/>
        </w:pBdr>
        <w:ind w:hanging="2"/>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E-mail: </w:t>
      </w:r>
      <w:hyperlink r:id="rId8">
        <w:r>
          <w:rPr>
            <w:rFonts w:ascii="Century Gothic" w:eastAsia="Century Gothic" w:hAnsi="Century Gothic" w:cs="Century Gothic"/>
            <w:color w:val="0000FF"/>
            <w:sz w:val="18"/>
            <w:szCs w:val="18"/>
            <w:u w:val="single"/>
          </w:rPr>
          <w:t>prensa@sergat.com</w:t>
        </w:r>
      </w:hyperlink>
      <w:r>
        <w:rPr>
          <w:rFonts w:ascii="Century Gothic" w:eastAsia="Century Gothic" w:hAnsi="Century Gothic" w:cs="Century Gothic"/>
          <w:color w:val="000000"/>
          <w:sz w:val="18"/>
          <w:szCs w:val="18"/>
        </w:rPr>
        <w:t xml:space="preserve"> </w:t>
      </w:r>
    </w:p>
    <w:p w14:paraId="21A5F0CF" w14:textId="77777777" w:rsidR="003F3347" w:rsidRDefault="00000000">
      <w:pPr>
        <w:pBdr>
          <w:top w:val="nil"/>
          <w:left w:val="nil"/>
          <w:bottom w:val="nil"/>
          <w:right w:val="nil"/>
          <w:between w:val="nil"/>
        </w:pBdr>
        <w:spacing w:after="160"/>
        <w:ind w:hanging="2"/>
        <w:jc w:val="center"/>
        <w:rPr>
          <w:rFonts w:ascii="Century Gothic" w:eastAsia="Century Gothic" w:hAnsi="Century Gothic" w:cs="Century Gothic"/>
          <w:color w:val="000000"/>
        </w:rPr>
      </w:pPr>
      <w:bookmarkStart w:id="0" w:name="_heading=h.gjdgxs" w:colFirst="0" w:colLast="0"/>
      <w:bookmarkEnd w:id="0"/>
      <w:r>
        <w:rPr>
          <w:rFonts w:ascii="Century Gothic" w:eastAsia="Century Gothic" w:hAnsi="Century Gothic" w:cs="Century Gothic"/>
          <w:b/>
          <w:color w:val="000000"/>
        </w:rPr>
        <w:t xml:space="preserve"> </w:t>
      </w:r>
    </w:p>
    <w:p w14:paraId="76140273" w14:textId="77777777" w:rsidR="003F3347" w:rsidRDefault="00000000">
      <w:pPr>
        <w:pBdr>
          <w:top w:val="nil"/>
          <w:left w:val="nil"/>
          <w:bottom w:val="nil"/>
          <w:right w:val="nil"/>
          <w:between w:val="nil"/>
        </w:pBdr>
        <w:spacing w:after="120"/>
        <w:ind w:hanging="2"/>
        <w:rPr>
          <w:rFonts w:ascii="Century Gothic" w:eastAsia="Century Gothic" w:hAnsi="Century Gothic" w:cs="Century Gothic"/>
          <w:color w:val="000000"/>
          <w:u w:val="single"/>
        </w:rPr>
      </w:pPr>
      <w:r>
        <w:rPr>
          <w:rFonts w:ascii="Century Gothic" w:eastAsia="Century Gothic" w:hAnsi="Century Gothic" w:cs="Century Gothic"/>
          <w:b/>
          <w:color w:val="000000"/>
          <w:u w:val="single"/>
        </w:rPr>
        <w:t>COMUNICADO DE PRENSA</w:t>
      </w:r>
    </w:p>
    <w:p w14:paraId="78AEDA07" w14:textId="77777777" w:rsidR="003F3347" w:rsidRDefault="003F3347">
      <w:pPr>
        <w:pBdr>
          <w:top w:val="nil"/>
          <w:left w:val="nil"/>
          <w:bottom w:val="nil"/>
          <w:right w:val="nil"/>
          <w:between w:val="nil"/>
        </w:pBdr>
        <w:spacing w:after="120"/>
        <w:ind w:hanging="2"/>
        <w:rPr>
          <w:rFonts w:ascii="Century Gothic" w:eastAsia="Century Gothic" w:hAnsi="Century Gothic" w:cs="Century Gothic"/>
          <w:color w:val="000000"/>
          <w:u w:val="single"/>
        </w:rPr>
      </w:pPr>
    </w:p>
    <w:p w14:paraId="66EF4018" w14:textId="77777777" w:rsidR="003F3347" w:rsidRDefault="00000000">
      <w:pPr>
        <w:pBdr>
          <w:top w:val="nil"/>
          <w:left w:val="nil"/>
          <w:bottom w:val="nil"/>
          <w:right w:val="nil"/>
          <w:between w:val="nil"/>
        </w:pBdr>
        <w:spacing w:after="160" w:line="360" w:lineRule="auto"/>
        <w:ind w:hanging="2"/>
        <w:jc w:val="center"/>
        <w:rPr>
          <w:b/>
          <w:sz w:val="24"/>
          <w:szCs w:val="24"/>
        </w:rPr>
      </w:pPr>
      <w:r>
        <w:rPr>
          <w:rFonts w:ascii="Century Gothic" w:eastAsia="Century Gothic" w:hAnsi="Century Gothic" w:cs="Century Gothic"/>
          <w:b/>
          <w:sz w:val="24"/>
          <w:szCs w:val="24"/>
        </w:rPr>
        <w:t>Delta lleva los sabores españoles del chef José Andrés a los cielos</w:t>
      </w:r>
    </w:p>
    <w:p w14:paraId="037AB4CF" w14:textId="77777777" w:rsidR="003F3347" w:rsidRDefault="00000000">
      <w:pPr>
        <w:pBdr>
          <w:top w:val="nil"/>
          <w:left w:val="nil"/>
          <w:bottom w:val="nil"/>
          <w:right w:val="nil"/>
          <w:between w:val="nil"/>
        </w:pBdr>
        <w:spacing w:line="360" w:lineRule="auto"/>
        <w:ind w:firstLine="0"/>
        <w:jc w:val="center"/>
        <w:rPr>
          <w:rFonts w:ascii="Century Gothic" w:eastAsia="Century Gothic" w:hAnsi="Century Gothic" w:cs="Century Gothic"/>
          <w:i/>
          <w:sz w:val="20"/>
          <w:szCs w:val="20"/>
        </w:rPr>
      </w:pPr>
      <w:r>
        <w:rPr>
          <w:rFonts w:ascii="Century Gothic" w:eastAsia="Century Gothic" w:hAnsi="Century Gothic" w:cs="Century Gothic"/>
          <w:i/>
          <w:color w:val="000000"/>
          <w:sz w:val="20"/>
          <w:szCs w:val="20"/>
        </w:rPr>
        <w:t xml:space="preserve">Delta vuelve a redefinir la experiencia gastronómica a bordo con su más reciente colaboración </w:t>
      </w:r>
      <w:r>
        <w:rPr>
          <w:rFonts w:ascii="Century Gothic" w:eastAsia="Century Gothic" w:hAnsi="Century Gothic" w:cs="Century Gothic"/>
          <w:i/>
          <w:sz w:val="20"/>
          <w:szCs w:val="20"/>
        </w:rPr>
        <w:t>culinaria</w:t>
      </w:r>
      <w:r>
        <w:rPr>
          <w:rFonts w:ascii="Century Gothic" w:eastAsia="Century Gothic" w:hAnsi="Century Gothic" w:cs="Century Gothic"/>
          <w:i/>
          <w:color w:val="000000"/>
          <w:sz w:val="20"/>
          <w:szCs w:val="20"/>
        </w:rPr>
        <w:t xml:space="preserve">, en la que se une al chef </w:t>
      </w:r>
      <w:r>
        <w:rPr>
          <w:rFonts w:ascii="Century Gothic" w:eastAsia="Century Gothic" w:hAnsi="Century Gothic" w:cs="Century Gothic"/>
          <w:i/>
          <w:sz w:val="20"/>
          <w:szCs w:val="20"/>
        </w:rPr>
        <w:t>español,</w:t>
      </w:r>
      <w:r>
        <w:rPr>
          <w:rFonts w:ascii="Century Gothic" w:eastAsia="Century Gothic" w:hAnsi="Century Gothic" w:cs="Century Gothic"/>
          <w:i/>
          <w:color w:val="000000"/>
          <w:sz w:val="20"/>
          <w:szCs w:val="20"/>
        </w:rPr>
        <w:t xml:space="preserve"> </w:t>
      </w:r>
      <w:r>
        <w:rPr>
          <w:rFonts w:ascii="Century Gothic" w:eastAsia="Century Gothic" w:hAnsi="Century Gothic" w:cs="Century Gothic"/>
          <w:i/>
          <w:sz w:val="20"/>
          <w:szCs w:val="20"/>
        </w:rPr>
        <w:t>solidario</w:t>
      </w:r>
      <w:r>
        <w:rPr>
          <w:rFonts w:ascii="Century Gothic" w:eastAsia="Century Gothic" w:hAnsi="Century Gothic" w:cs="Century Gothic"/>
          <w:i/>
          <w:color w:val="000000"/>
          <w:sz w:val="20"/>
          <w:szCs w:val="20"/>
        </w:rPr>
        <w:t xml:space="preserve"> y de renombre mundial</w:t>
      </w:r>
    </w:p>
    <w:p w14:paraId="157725BF" w14:textId="77777777" w:rsidR="003F3347" w:rsidRDefault="003F3347">
      <w:pPr>
        <w:pBdr>
          <w:top w:val="nil"/>
          <w:left w:val="nil"/>
          <w:bottom w:val="nil"/>
          <w:right w:val="nil"/>
          <w:between w:val="nil"/>
        </w:pBdr>
        <w:spacing w:line="360" w:lineRule="auto"/>
        <w:ind w:firstLine="0"/>
        <w:jc w:val="center"/>
        <w:rPr>
          <w:rFonts w:ascii="Century Gothic" w:eastAsia="Century Gothic" w:hAnsi="Century Gothic" w:cs="Century Gothic"/>
          <w:i/>
          <w:sz w:val="20"/>
          <w:szCs w:val="20"/>
        </w:rPr>
      </w:pPr>
    </w:p>
    <w:p w14:paraId="16EFBAE0" w14:textId="77777777" w:rsidR="003F3347" w:rsidRDefault="00000000">
      <w:pPr>
        <w:spacing w:line="360" w:lineRule="auto"/>
        <w:ind w:firstLine="0"/>
        <w:jc w:val="both"/>
        <w:rPr>
          <w:rFonts w:ascii="Century Gothic" w:eastAsia="Century Gothic" w:hAnsi="Century Gothic" w:cs="Century Gothic"/>
          <w:sz w:val="20"/>
          <w:szCs w:val="20"/>
        </w:rPr>
      </w:pPr>
      <w:r>
        <w:rPr>
          <w:rFonts w:ascii="Century Gothic" w:eastAsia="Century Gothic" w:hAnsi="Century Gothic" w:cs="Century Gothic"/>
          <w:b/>
          <w:sz w:val="20"/>
          <w:szCs w:val="20"/>
        </w:rPr>
        <w:t>Atlanta, 24 de octubre de 2025-</w:t>
      </w:r>
      <w:r>
        <w:t xml:space="preserve"> </w:t>
      </w:r>
      <w:r>
        <w:rPr>
          <w:rFonts w:ascii="Century Gothic" w:eastAsia="Century Gothic" w:hAnsi="Century Gothic" w:cs="Century Gothic"/>
          <w:sz w:val="20"/>
          <w:szCs w:val="20"/>
        </w:rPr>
        <w:t xml:space="preserve">A partir del 4 de noviembre, Delta se asociará con el chef español José Andrés para llevar el sabor de España a los cielos. La colaboración comenzará en Delta </w:t>
      </w:r>
      <w:proofErr w:type="spellStart"/>
      <w:r>
        <w:rPr>
          <w:rFonts w:ascii="Century Gothic" w:eastAsia="Century Gothic" w:hAnsi="Century Gothic" w:cs="Century Gothic"/>
          <w:sz w:val="20"/>
          <w:szCs w:val="20"/>
        </w:rPr>
        <w:t>One</w:t>
      </w:r>
      <w:proofErr w:type="spellEnd"/>
      <w:r>
        <w:rPr>
          <w:rFonts w:ascii="Century Gothic" w:eastAsia="Century Gothic" w:hAnsi="Century Gothic" w:cs="Century Gothic"/>
          <w:sz w:val="20"/>
          <w:szCs w:val="20"/>
        </w:rPr>
        <w:t xml:space="preserve"> y Delta </w:t>
      </w:r>
      <w:proofErr w:type="spellStart"/>
      <w:r>
        <w:rPr>
          <w:rFonts w:ascii="Century Gothic" w:eastAsia="Century Gothic" w:hAnsi="Century Gothic" w:cs="Century Gothic"/>
          <w:sz w:val="20"/>
          <w:szCs w:val="20"/>
        </w:rPr>
        <w:t>First</w:t>
      </w:r>
      <w:proofErr w:type="spellEnd"/>
      <w:r>
        <w:rPr>
          <w:rFonts w:ascii="Century Gothic" w:eastAsia="Century Gothic" w:hAnsi="Century Gothic" w:cs="Century Gothic"/>
          <w:sz w:val="20"/>
          <w:szCs w:val="20"/>
        </w:rPr>
        <w:t>, con un lanzamiento gradual previsto hasta 2026.</w:t>
      </w:r>
    </w:p>
    <w:p w14:paraId="05E0D67B" w14:textId="77777777" w:rsidR="003F3347" w:rsidRDefault="003F3347">
      <w:pPr>
        <w:spacing w:line="360" w:lineRule="auto"/>
        <w:ind w:firstLine="0"/>
        <w:jc w:val="both"/>
        <w:rPr>
          <w:rFonts w:ascii="Century Gothic" w:eastAsia="Century Gothic" w:hAnsi="Century Gothic" w:cs="Century Gothic"/>
          <w:sz w:val="20"/>
          <w:szCs w:val="20"/>
        </w:rPr>
      </w:pPr>
    </w:p>
    <w:p w14:paraId="1D90DB84" w14:textId="6D9FFEBB" w:rsidR="003F3347" w:rsidRDefault="00000000">
      <w:pPr>
        <w:spacing w:line="360" w:lineRule="auto"/>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“Delta se distingue por ofrecer </w:t>
      </w:r>
      <w:proofErr w:type="gramStart"/>
      <w:r>
        <w:rPr>
          <w:rFonts w:ascii="Century Gothic" w:eastAsia="Century Gothic" w:hAnsi="Century Gothic" w:cs="Century Gothic"/>
          <w:sz w:val="20"/>
          <w:szCs w:val="20"/>
        </w:rPr>
        <w:t>experiencias culinaria</w:t>
      </w:r>
      <w:proofErr w:type="gramEnd"/>
      <w:r w:rsidR="00AA2A78">
        <w:rPr>
          <w:rFonts w:ascii="Century Gothic" w:eastAsia="Century Gothic" w:hAnsi="Century Gothic" w:cs="Century Gothic"/>
          <w:sz w:val="20"/>
          <w:szCs w:val="20"/>
        </w:rPr>
        <w:t xml:space="preserve"> </w:t>
      </w:r>
      <w:r>
        <w:rPr>
          <w:rFonts w:ascii="Century Gothic" w:eastAsia="Century Gothic" w:hAnsi="Century Gothic" w:cs="Century Gothic"/>
          <w:sz w:val="20"/>
          <w:szCs w:val="20"/>
        </w:rPr>
        <w:t xml:space="preserve">de primer nivel”, afirma Stephanie </w:t>
      </w:r>
      <w:proofErr w:type="spellStart"/>
      <w:r>
        <w:rPr>
          <w:rFonts w:ascii="Century Gothic" w:eastAsia="Century Gothic" w:hAnsi="Century Gothic" w:cs="Century Gothic"/>
          <w:sz w:val="20"/>
          <w:szCs w:val="20"/>
        </w:rPr>
        <w:t>Laster</w:t>
      </w:r>
      <w:proofErr w:type="spellEnd"/>
      <w:r>
        <w:rPr>
          <w:rFonts w:ascii="Century Gothic" w:eastAsia="Century Gothic" w:hAnsi="Century Gothic" w:cs="Century Gothic"/>
          <w:sz w:val="20"/>
          <w:szCs w:val="20"/>
        </w:rPr>
        <w:t xml:space="preserve">, directora general de </w:t>
      </w:r>
      <w:proofErr w:type="spellStart"/>
      <w:r>
        <w:rPr>
          <w:rFonts w:ascii="Century Gothic" w:eastAsia="Century Gothic" w:hAnsi="Century Gothic" w:cs="Century Gothic"/>
          <w:i/>
          <w:sz w:val="20"/>
          <w:szCs w:val="20"/>
        </w:rPr>
        <w:t>Onboard</w:t>
      </w:r>
      <w:proofErr w:type="spellEnd"/>
      <w:r>
        <w:rPr>
          <w:rFonts w:ascii="Century Gothic" w:eastAsia="Century Gothic" w:hAnsi="Century Gothic" w:cs="Century Gothic"/>
          <w:i/>
          <w:sz w:val="20"/>
          <w:szCs w:val="20"/>
        </w:rPr>
        <w:t xml:space="preserve"> </w:t>
      </w:r>
      <w:proofErr w:type="spellStart"/>
      <w:r>
        <w:rPr>
          <w:rFonts w:ascii="Century Gothic" w:eastAsia="Century Gothic" w:hAnsi="Century Gothic" w:cs="Century Gothic"/>
          <w:i/>
          <w:sz w:val="20"/>
          <w:szCs w:val="20"/>
        </w:rPr>
        <w:t>Dining</w:t>
      </w:r>
      <w:proofErr w:type="spellEnd"/>
      <w:r>
        <w:rPr>
          <w:rFonts w:ascii="Century Gothic" w:eastAsia="Century Gothic" w:hAnsi="Century Gothic" w:cs="Century Gothic"/>
          <w:i/>
          <w:sz w:val="20"/>
          <w:szCs w:val="20"/>
        </w:rPr>
        <w:t xml:space="preserve"> </w:t>
      </w:r>
      <w:proofErr w:type="spellStart"/>
      <w:r>
        <w:rPr>
          <w:rFonts w:ascii="Century Gothic" w:eastAsia="Century Gothic" w:hAnsi="Century Gothic" w:cs="Century Gothic"/>
          <w:i/>
          <w:sz w:val="20"/>
          <w:szCs w:val="20"/>
        </w:rPr>
        <w:t>Experience</w:t>
      </w:r>
      <w:proofErr w:type="spellEnd"/>
      <w:r>
        <w:rPr>
          <w:rFonts w:ascii="Century Gothic" w:eastAsia="Century Gothic" w:hAnsi="Century Gothic" w:cs="Century Gothic"/>
          <w:sz w:val="20"/>
          <w:szCs w:val="20"/>
        </w:rPr>
        <w:t>. “Al igual que somos líderes en fiabilidad operativa, también lo somos en innovación gastronómica, ya que ofrecemos deliciosas comidas que crean un sentido de conexión con el mundo, al tiempo que reflejan cultura, artesanía y cuidado”.</w:t>
      </w:r>
    </w:p>
    <w:p w14:paraId="59421E95" w14:textId="77777777" w:rsidR="003F3347" w:rsidRDefault="003F3347">
      <w:pPr>
        <w:spacing w:line="360" w:lineRule="auto"/>
        <w:ind w:firstLine="0"/>
        <w:jc w:val="both"/>
        <w:rPr>
          <w:rFonts w:ascii="Century Gothic" w:eastAsia="Century Gothic" w:hAnsi="Century Gothic" w:cs="Century Gothic"/>
          <w:sz w:val="20"/>
          <w:szCs w:val="20"/>
        </w:rPr>
      </w:pPr>
    </w:p>
    <w:p w14:paraId="589C2CD8" w14:textId="77777777" w:rsidR="003F3347" w:rsidRDefault="00000000">
      <w:pPr>
        <w:spacing w:line="360" w:lineRule="auto"/>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“A muchas personas, incluyéndome a mí, les encanta viajar por la comida; buscan nuevos sabores, nuevos platos, nuevos ingredientes”, compartió el chef José Andrés. “Pues bien, ¡ahora el viaje culinario puede empezar incluso antes de aterrizar! Es un sueño poder llevar estos sabores a los cielos con Delta”.</w:t>
      </w:r>
    </w:p>
    <w:p w14:paraId="7A7137D3" w14:textId="77777777" w:rsidR="003F3347" w:rsidRDefault="003F3347">
      <w:pPr>
        <w:spacing w:line="360" w:lineRule="auto"/>
        <w:ind w:firstLine="0"/>
        <w:jc w:val="both"/>
        <w:rPr>
          <w:rFonts w:ascii="Century Gothic" w:eastAsia="Century Gothic" w:hAnsi="Century Gothic" w:cs="Century Gothic"/>
          <w:sz w:val="20"/>
          <w:szCs w:val="20"/>
        </w:rPr>
      </w:pPr>
    </w:p>
    <w:p w14:paraId="6477A64A" w14:textId="77777777" w:rsidR="003F3347" w:rsidRDefault="00000000">
      <w:pPr>
        <w:spacing w:line="360" w:lineRule="auto"/>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Desde maridajes de vinos seleccionados en Delta </w:t>
      </w:r>
      <w:proofErr w:type="spellStart"/>
      <w:r>
        <w:rPr>
          <w:rFonts w:ascii="Century Gothic" w:eastAsia="Century Gothic" w:hAnsi="Century Gothic" w:cs="Century Gothic"/>
          <w:sz w:val="20"/>
          <w:szCs w:val="20"/>
        </w:rPr>
        <w:t>One</w:t>
      </w:r>
      <w:proofErr w:type="spellEnd"/>
      <w:r>
        <w:rPr>
          <w:rFonts w:ascii="Century Gothic" w:eastAsia="Century Gothic" w:hAnsi="Century Gothic" w:cs="Century Gothic"/>
          <w:sz w:val="20"/>
          <w:szCs w:val="20"/>
        </w:rPr>
        <w:t xml:space="preserve"> hasta hamburguesas </w:t>
      </w:r>
      <w:proofErr w:type="spellStart"/>
      <w:r>
        <w:rPr>
          <w:rFonts w:ascii="Century Gothic" w:eastAsia="Century Gothic" w:hAnsi="Century Gothic" w:cs="Century Gothic"/>
          <w:i/>
          <w:sz w:val="20"/>
          <w:szCs w:val="20"/>
        </w:rPr>
        <w:t>Shake</w:t>
      </w:r>
      <w:proofErr w:type="spellEnd"/>
      <w:r>
        <w:rPr>
          <w:rFonts w:ascii="Century Gothic" w:eastAsia="Century Gothic" w:hAnsi="Century Gothic" w:cs="Century Gothic"/>
          <w:i/>
          <w:sz w:val="20"/>
          <w:szCs w:val="20"/>
        </w:rPr>
        <w:t xml:space="preserve"> </w:t>
      </w:r>
      <w:proofErr w:type="spellStart"/>
      <w:r>
        <w:rPr>
          <w:rFonts w:ascii="Century Gothic" w:eastAsia="Century Gothic" w:hAnsi="Century Gothic" w:cs="Century Gothic"/>
          <w:i/>
          <w:sz w:val="20"/>
          <w:szCs w:val="20"/>
        </w:rPr>
        <w:t>Shack</w:t>
      </w:r>
      <w:proofErr w:type="spellEnd"/>
      <w:r>
        <w:rPr>
          <w:rFonts w:ascii="Century Gothic" w:eastAsia="Century Gothic" w:hAnsi="Century Gothic" w:cs="Century Gothic"/>
          <w:sz w:val="20"/>
          <w:szCs w:val="20"/>
        </w:rPr>
        <w:t xml:space="preserve"> a altitud de crucero, Delta ha ido haciendo de su servicio de comidas a bordo una experiencia culinaria de altura.</w:t>
      </w:r>
    </w:p>
    <w:p w14:paraId="5D3362D6" w14:textId="77777777" w:rsidR="003F3347" w:rsidRDefault="003F3347">
      <w:pPr>
        <w:spacing w:line="360" w:lineRule="auto"/>
        <w:ind w:firstLine="0"/>
        <w:jc w:val="both"/>
        <w:rPr>
          <w:rFonts w:ascii="Century Gothic" w:eastAsia="Century Gothic" w:hAnsi="Century Gothic" w:cs="Century Gothic"/>
          <w:sz w:val="20"/>
          <w:szCs w:val="20"/>
        </w:rPr>
      </w:pPr>
    </w:p>
    <w:p w14:paraId="1763928C" w14:textId="77777777" w:rsidR="003F3347" w:rsidRDefault="00000000">
      <w:pPr>
        <w:spacing w:line="360" w:lineRule="auto"/>
        <w:ind w:firstLine="0"/>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El sabor de España en el cielo</w:t>
      </w:r>
    </w:p>
    <w:p w14:paraId="61F9C06D" w14:textId="77777777" w:rsidR="003F3347" w:rsidRDefault="00000000">
      <w:pPr>
        <w:spacing w:line="360" w:lineRule="auto"/>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Con sabores atrevidos y reconfortantes inspirados en las raíces españolas y los restaurantes de José Andrés, el nuevo menú, que llevará la firma de este célebre cocinero, refleja la vibrante </w:t>
      </w:r>
      <w:r>
        <w:rPr>
          <w:rFonts w:ascii="Century Gothic" w:eastAsia="Century Gothic" w:hAnsi="Century Gothic" w:cs="Century Gothic"/>
          <w:sz w:val="20"/>
          <w:szCs w:val="20"/>
        </w:rPr>
        <w:lastRenderedPageBreak/>
        <w:t>visión culinaria española del chef, con platos seleccionados que mantienen el sabor, la textura y la autenticidad hispanas en los viajes en avión.</w:t>
      </w:r>
    </w:p>
    <w:p w14:paraId="4557FEF2" w14:textId="77777777" w:rsidR="003F3347" w:rsidRDefault="003F3347">
      <w:pPr>
        <w:spacing w:line="360" w:lineRule="auto"/>
        <w:ind w:firstLine="0"/>
        <w:jc w:val="both"/>
        <w:rPr>
          <w:rFonts w:ascii="Century Gothic" w:eastAsia="Century Gothic" w:hAnsi="Century Gothic" w:cs="Century Gothic"/>
          <w:sz w:val="20"/>
          <w:szCs w:val="20"/>
        </w:rPr>
      </w:pPr>
    </w:p>
    <w:p w14:paraId="5BDC7296" w14:textId="77777777" w:rsidR="003F3347" w:rsidRDefault="00000000">
      <w:pPr>
        <w:spacing w:line="360" w:lineRule="auto"/>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Los platos principales incluyen: tortilla española con pisto manchego, servida en el desayuno; costillas de ternera estofadas en salsa barbacoa, con mojo rojo y polenta; pimientos del piquillo rellenos de queso de cabra y setas; pollo con salsa de jerez y frutos secos, puré de apio nabo y patata, zanahorias asadas y cebollitas, etc.</w:t>
      </w:r>
    </w:p>
    <w:p w14:paraId="3324DB2E" w14:textId="77777777" w:rsidR="003F3347" w:rsidRDefault="003F3347">
      <w:pPr>
        <w:spacing w:line="360" w:lineRule="auto"/>
        <w:ind w:firstLine="0"/>
        <w:jc w:val="both"/>
        <w:rPr>
          <w:rFonts w:ascii="Century Gothic" w:eastAsia="Century Gothic" w:hAnsi="Century Gothic" w:cs="Century Gothic"/>
          <w:sz w:val="20"/>
          <w:szCs w:val="20"/>
        </w:rPr>
      </w:pPr>
    </w:p>
    <w:p w14:paraId="27F942C3" w14:textId="77777777" w:rsidR="003F3347" w:rsidRDefault="00000000">
      <w:pPr>
        <w:spacing w:line="360" w:lineRule="auto"/>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El equipo de Andrés trabajó en estrecha colaboración con los expertos culinarios de Delta para ajustar el tamaño de las raciones, los métodos de calentamiento y la presentación, de modo que cada bocado sepa tan bien a bordo como lo haría en un auténtico bar de tapas de España.</w:t>
      </w:r>
    </w:p>
    <w:p w14:paraId="2082FE85" w14:textId="77777777" w:rsidR="003F3347" w:rsidRDefault="003F3347">
      <w:pPr>
        <w:spacing w:line="360" w:lineRule="auto"/>
        <w:ind w:firstLine="0"/>
        <w:jc w:val="both"/>
        <w:rPr>
          <w:rFonts w:ascii="Century Gothic" w:eastAsia="Century Gothic" w:hAnsi="Century Gothic" w:cs="Century Gothic"/>
          <w:sz w:val="20"/>
          <w:szCs w:val="20"/>
        </w:rPr>
      </w:pPr>
    </w:p>
    <w:p w14:paraId="5C6AF953" w14:textId="77777777" w:rsidR="003F3347" w:rsidRDefault="00000000">
      <w:pPr>
        <w:spacing w:line="360" w:lineRule="auto"/>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La estrategia culinaria de Delta busca deleitar el paladar de los clientes. Al asociarse con chefs de renombre como José Andrés, la línea aérea refuerza su identidad como marca de estilo de vida </w:t>
      </w:r>
      <w:r>
        <w:rPr>
          <w:rFonts w:ascii="Century Gothic" w:eastAsia="Century Gothic" w:hAnsi="Century Gothic" w:cs="Century Gothic"/>
          <w:i/>
          <w:sz w:val="20"/>
          <w:szCs w:val="20"/>
        </w:rPr>
        <w:t>premium</w:t>
      </w:r>
      <w:r>
        <w:rPr>
          <w:rFonts w:ascii="Century Gothic" w:eastAsia="Century Gothic" w:hAnsi="Century Gothic" w:cs="Century Gothic"/>
          <w:sz w:val="20"/>
          <w:szCs w:val="20"/>
        </w:rPr>
        <w:t xml:space="preserve"> con un propósito.</w:t>
      </w:r>
    </w:p>
    <w:p w14:paraId="0EEBCA29" w14:textId="77777777" w:rsidR="003F3347" w:rsidRDefault="003F3347">
      <w:pPr>
        <w:spacing w:line="360" w:lineRule="auto"/>
        <w:ind w:firstLine="0"/>
        <w:jc w:val="both"/>
        <w:rPr>
          <w:rFonts w:ascii="Century Gothic" w:eastAsia="Century Gothic" w:hAnsi="Century Gothic" w:cs="Century Gothic"/>
          <w:sz w:val="20"/>
          <w:szCs w:val="20"/>
        </w:rPr>
      </w:pPr>
    </w:p>
    <w:p w14:paraId="06B734AE" w14:textId="77777777" w:rsidR="003F3347" w:rsidRDefault="00000000">
      <w:pPr>
        <w:spacing w:line="360" w:lineRule="auto"/>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“El chef José Andrés no sólo es un icono culinario, sino también una fuerza humanitaria”, afirma </w:t>
      </w:r>
      <w:proofErr w:type="spellStart"/>
      <w:r>
        <w:rPr>
          <w:rFonts w:ascii="Century Gothic" w:eastAsia="Century Gothic" w:hAnsi="Century Gothic" w:cs="Century Gothic"/>
          <w:sz w:val="20"/>
          <w:szCs w:val="20"/>
        </w:rPr>
        <w:t>Laster</w:t>
      </w:r>
      <w:proofErr w:type="spellEnd"/>
      <w:r>
        <w:rPr>
          <w:rFonts w:ascii="Century Gothic" w:eastAsia="Century Gothic" w:hAnsi="Century Gothic" w:cs="Century Gothic"/>
          <w:sz w:val="20"/>
          <w:szCs w:val="20"/>
        </w:rPr>
        <w:t>. “Su enfoque centrado en las personas y su influencia global encajan perfectamente con la misión de Delta de ofrecer una hospitalidad con alma. No podríamos estar más emocionados con esta colaboración”.</w:t>
      </w:r>
    </w:p>
    <w:p w14:paraId="3D6CAA03" w14:textId="77777777" w:rsidR="003F3347" w:rsidRDefault="003F3347">
      <w:pPr>
        <w:spacing w:line="360" w:lineRule="auto"/>
        <w:ind w:firstLine="0"/>
        <w:jc w:val="both"/>
        <w:rPr>
          <w:rFonts w:ascii="Century Gothic" w:eastAsia="Century Gothic" w:hAnsi="Century Gothic" w:cs="Century Gothic"/>
          <w:sz w:val="20"/>
          <w:szCs w:val="20"/>
        </w:rPr>
      </w:pPr>
    </w:p>
    <w:p w14:paraId="0CC314C7" w14:textId="77777777" w:rsidR="003F3347" w:rsidRDefault="00000000">
      <w:pPr>
        <w:spacing w:line="360" w:lineRule="auto"/>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Andrés es la elección perfecta. Estas nuevas ofertas son más que simples comidas: son una celebración del sabor, la excelencia culinaria y la narración de historias, algo que Delta está incorporando cada vez más a su experiencia a bordo.</w:t>
      </w:r>
    </w:p>
    <w:p w14:paraId="3300C80C" w14:textId="77777777" w:rsidR="003F3347" w:rsidRDefault="003F3347">
      <w:pPr>
        <w:spacing w:line="360" w:lineRule="auto"/>
        <w:ind w:firstLine="0"/>
        <w:rPr>
          <w:rFonts w:ascii="Century Gothic" w:eastAsia="Century Gothic" w:hAnsi="Century Gothic" w:cs="Century Gothic"/>
          <w:b/>
          <w:i/>
          <w:color w:val="000000"/>
          <w:sz w:val="16"/>
          <w:szCs w:val="16"/>
        </w:rPr>
      </w:pPr>
    </w:p>
    <w:p w14:paraId="40073F37" w14:textId="77777777" w:rsidR="003F3347" w:rsidRDefault="00000000">
      <w:pPr>
        <w:spacing w:line="360" w:lineRule="auto"/>
        <w:ind w:firstLine="0"/>
        <w:rPr>
          <w:rFonts w:ascii="Century Gothic" w:eastAsia="Century Gothic" w:hAnsi="Century Gothic" w:cs="Century Gothic"/>
          <w:color w:val="000000"/>
          <w:sz w:val="16"/>
          <w:szCs w:val="16"/>
        </w:rPr>
      </w:pPr>
      <w:r>
        <w:rPr>
          <w:rFonts w:ascii="Century Gothic" w:eastAsia="Century Gothic" w:hAnsi="Century Gothic" w:cs="Century Gothic"/>
          <w:b/>
          <w:i/>
          <w:color w:val="000000"/>
          <w:sz w:val="16"/>
          <w:szCs w:val="16"/>
        </w:rPr>
        <w:t>Acerca de Delta</w:t>
      </w:r>
    </w:p>
    <w:p w14:paraId="7110E610" w14:textId="77777777" w:rsidR="003F3347" w:rsidRDefault="00000000">
      <w:pPr>
        <w:pBdr>
          <w:top w:val="nil"/>
          <w:left w:val="nil"/>
          <w:bottom w:val="nil"/>
          <w:right w:val="nil"/>
          <w:between w:val="nil"/>
        </w:pBdr>
        <w:spacing w:after="160" w:line="360" w:lineRule="auto"/>
        <w:ind w:hanging="2"/>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Más de 90.000 empleados de Delta se encargan de ofrecer una experiencia de primera clase al cliente en más de 4.000 vuelos diarios a más de 275 destinos en seis continentes, conectando a las personas con los lugares y entre sí.</w:t>
      </w:r>
    </w:p>
    <w:p w14:paraId="3056DFC9" w14:textId="77777777" w:rsidR="003F3347" w:rsidRDefault="00000000">
      <w:pPr>
        <w:pBdr>
          <w:top w:val="nil"/>
          <w:left w:val="nil"/>
          <w:bottom w:val="nil"/>
          <w:right w:val="nil"/>
          <w:between w:val="nil"/>
        </w:pBdr>
        <w:spacing w:after="160" w:line="360" w:lineRule="auto"/>
        <w:ind w:hanging="2"/>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Delta se compromete a prestar servicio a 200 millones de clientes al año, con un servicio al cliente, seguridad, innovación y fiabilidad líderes en el sector, reconocida como la aerolínea más puntual de Norteamérica. Nos dedicamos a garantizar que el futuro de los viajes sea conectado, personalizado y agradable. La motivación genuina y duradera de nuestro personal es hacer que cada cliente se sienta bienvenido y respetado en cada momento de su viaje con nosotros.</w:t>
      </w:r>
    </w:p>
    <w:p w14:paraId="0FD3F21F" w14:textId="77777777" w:rsidR="003F3347" w:rsidRDefault="00000000">
      <w:pPr>
        <w:pBdr>
          <w:top w:val="nil"/>
          <w:left w:val="nil"/>
          <w:bottom w:val="nil"/>
          <w:right w:val="nil"/>
          <w:between w:val="nil"/>
        </w:pBdr>
        <w:spacing w:after="160" w:line="360" w:lineRule="auto"/>
        <w:ind w:hanging="2"/>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 xml:space="preserve">Con sede central en Atlanta, Delta opera importantes centros de operaciones y mercados clave en Ámsterdam, Atlanta, Boston, Detroit, Londres-Heathrow, Los Ángeles, Ciudad de México, Minneapolis-St. Paul, Nueva York-JFK y </w:t>
      </w:r>
      <w:proofErr w:type="spellStart"/>
      <w:r>
        <w:rPr>
          <w:rFonts w:ascii="Century Gothic" w:eastAsia="Century Gothic" w:hAnsi="Century Gothic" w:cs="Century Gothic"/>
          <w:color w:val="000000"/>
          <w:sz w:val="16"/>
          <w:szCs w:val="16"/>
        </w:rPr>
        <w:t>LaGuardia</w:t>
      </w:r>
      <w:proofErr w:type="spellEnd"/>
      <w:r>
        <w:rPr>
          <w:rFonts w:ascii="Century Gothic" w:eastAsia="Century Gothic" w:hAnsi="Century Gothic" w:cs="Century Gothic"/>
          <w:color w:val="000000"/>
          <w:sz w:val="16"/>
          <w:szCs w:val="16"/>
        </w:rPr>
        <w:t>, París-Charles de Gaulle, Salt Lake City, Seattle, Seúl-Incheon y Tokio.</w:t>
      </w:r>
    </w:p>
    <w:p w14:paraId="50FC4968" w14:textId="77777777" w:rsidR="003F3347" w:rsidRDefault="00000000">
      <w:pPr>
        <w:pBdr>
          <w:top w:val="nil"/>
          <w:left w:val="nil"/>
          <w:bottom w:val="nil"/>
          <w:right w:val="nil"/>
          <w:between w:val="nil"/>
        </w:pBdr>
        <w:spacing w:after="160" w:line="360" w:lineRule="auto"/>
        <w:ind w:hanging="2"/>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Como aerolínea líder mundial, la misión de Delta de conectar el mundo crea oportunidades, fomenta el entendimiento y amplía horizontes conectando a personas y comunidades entre sí y con su potencial.</w:t>
      </w:r>
    </w:p>
    <w:p w14:paraId="7998F2D2" w14:textId="77777777" w:rsidR="003F3347" w:rsidRDefault="00000000">
      <w:pPr>
        <w:pBdr>
          <w:top w:val="nil"/>
          <w:left w:val="nil"/>
          <w:bottom w:val="nil"/>
          <w:right w:val="nil"/>
          <w:between w:val="nil"/>
        </w:pBdr>
        <w:spacing w:after="160" w:line="360" w:lineRule="auto"/>
        <w:ind w:hanging="2"/>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lastRenderedPageBreak/>
        <w:t xml:space="preserve">Impulsada por asociaciones innovadoras y estratégicas con Aeroméxico, Air France-KLM, China Eastern, </w:t>
      </w:r>
      <w:proofErr w:type="spellStart"/>
      <w:r>
        <w:rPr>
          <w:rFonts w:ascii="Century Gothic" w:eastAsia="Century Gothic" w:hAnsi="Century Gothic" w:cs="Century Gothic"/>
          <w:color w:val="000000"/>
          <w:sz w:val="16"/>
          <w:szCs w:val="16"/>
        </w:rPr>
        <w:t>Korean</w:t>
      </w:r>
      <w:proofErr w:type="spellEnd"/>
      <w:r>
        <w:rPr>
          <w:rFonts w:ascii="Century Gothic" w:eastAsia="Century Gothic" w:hAnsi="Century Gothic" w:cs="Century Gothic"/>
          <w:color w:val="000000"/>
          <w:sz w:val="16"/>
          <w:szCs w:val="16"/>
        </w:rPr>
        <w:t xml:space="preserve"> Air, LATAM, </w:t>
      </w:r>
      <w:proofErr w:type="spellStart"/>
      <w:r>
        <w:rPr>
          <w:rFonts w:ascii="Century Gothic" w:eastAsia="Century Gothic" w:hAnsi="Century Gothic" w:cs="Century Gothic"/>
          <w:color w:val="000000"/>
          <w:sz w:val="16"/>
          <w:szCs w:val="16"/>
        </w:rPr>
        <w:t>Virgin</w:t>
      </w:r>
      <w:proofErr w:type="spellEnd"/>
      <w:r>
        <w:rPr>
          <w:rFonts w:ascii="Century Gothic" w:eastAsia="Century Gothic" w:hAnsi="Century Gothic" w:cs="Century Gothic"/>
          <w:color w:val="000000"/>
          <w:sz w:val="16"/>
          <w:szCs w:val="16"/>
        </w:rPr>
        <w:t xml:space="preserve"> Atlantic y </w:t>
      </w:r>
      <w:proofErr w:type="spellStart"/>
      <w:r>
        <w:rPr>
          <w:rFonts w:ascii="Century Gothic" w:eastAsia="Century Gothic" w:hAnsi="Century Gothic" w:cs="Century Gothic"/>
          <w:color w:val="000000"/>
          <w:sz w:val="16"/>
          <w:szCs w:val="16"/>
        </w:rPr>
        <w:t>WestJet</w:t>
      </w:r>
      <w:proofErr w:type="spellEnd"/>
      <w:r>
        <w:rPr>
          <w:rFonts w:ascii="Century Gothic" w:eastAsia="Century Gothic" w:hAnsi="Century Gothic" w:cs="Century Gothic"/>
          <w:color w:val="000000"/>
          <w:sz w:val="16"/>
          <w:szCs w:val="16"/>
        </w:rPr>
        <w:t>, Delta ofrece más opciones y competencia a sus clientes de todo el mundo.</w:t>
      </w:r>
    </w:p>
    <w:p w14:paraId="7BA84C89" w14:textId="77777777" w:rsidR="003F3347" w:rsidRDefault="00000000">
      <w:pPr>
        <w:pBdr>
          <w:top w:val="nil"/>
          <w:left w:val="nil"/>
          <w:bottom w:val="nil"/>
          <w:right w:val="nil"/>
          <w:between w:val="nil"/>
        </w:pBdr>
        <w:spacing w:after="160" w:line="360" w:lineRule="auto"/>
        <w:ind w:hanging="2"/>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 xml:space="preserve">Este verano, Delta puso en marcha el mayor programa transatlántico de su historia, ofreciendo casi 620 vuelos semanales a </w:t>
      </w:r>
      <w:proofErr w:type="gramStart"/>
      <w:r>
        <w:rPr>
          <w:rFonts w:ascii="Century Gothic" w:eastAsia="Century Gothic" w:hAnsi="Century Gothic" w:cs="Century Gothic"/>
          <w:color w:val="000000"/>
          <w:sz w:val="16"/>
          <w:szCs w:val="16"/>
        </w:rPr>
        <w:t>EE.UU.</w:t>
      </w:r>
      <w:proofErr w:type="gramEnd"/>
      <w:r>
        <w:rPr>
          <w:rFonts w:ascii="Century Gothic" w:eastAsia="Century Gothic" w:hAnsi="Century Gothic" w:cs="Century Gothic"/>
          <w:color w:val="000000"/>
          <w:sz w:val="16"/>
          <w:szCs w:val="16"/>
        </w:rPr>
        <w:t xml:space="preserve"> desde 32 aeropuertos europeos.</w:t>
      </w:r>
    </w:p>
    <w:p w14:paraId="028D1358" w14:textId="77777777" w:rsidR="003F3347" w:rsidRDefault="003F3347">
      <w:pPr>
        <w:pBdr>
          <w:top w:val="nil"/>
          <w:left w:val="nil"/>
          <w:bottom w:val="nil"/>
          <w:right w:val="nil"/>
          <w:between w:val="nil"/>
        </w:pBdr>
        <w:spacing w:after="160" w:line="360" w:lineRule="auto"/>
        <w:ind w:hanging="2"/>
        <w:jc w:val="both"/>
        <w:rPr>
          <w:rFonts w:ascii="Century Gothic" w:eastAsia="Century Gothic" w:hAnsi="Century Gothic" w:cs="Century Gothic"/>
          <w:color w:val="000000"/>
          <w:sz w:val="16"/>
          <w:szCs w:val="16"/>
        </w:rPr>
      </w:pPr>
    </w:p>
    <w:sectPr w:rsidR="003F3347">
      <w:headerReference w:type="default" r:id="rId9"/>
      <w:footerReference w:type="default" r:id="rId10"/>
      <w:pgSz w:w="12240" w:h="15840"/>
      <w:pgMar w:top="921" w:right="1608" w:bottom="941" w:left="1560"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4D0AB" w14:textId="77777777" w:rsidR="005510D3" w:rsidRDefault="005510D3">
      <w:pPr>
        <w:spacing w:line="240" w:lineRule="auto"/>
      </w:pPr>
      <w:r>
        <w:separator/>
      </w:r>
    </w:p>
  </w:endnote>
  <w:endnote w:type="continuationSeparator" w:id="0">
    <w:p w14:paraId="40E9B6E2" w14:textId="77777777" w:rsidR="005510D3" w:rsidRDefault="005510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A2CA1CD2-F1E8-5C41-8DEA-38B05AC51C23}"/>
    <w:embedBold r:id="rId2" w:fontKey="{73731A1D-AE0B-4F4E-81FA-AE45752731F1}"/>
    <w:embedItalic r:id="rId3" w:fontKey="{96B0143D-B308-324E-887E-F28A514D95E0}"/>
  </w:font>
  <w:font w:name="Times New Roman">
    <w:panose1 w:val="02020603050405020304"/>
    <w:charset w:val="00"/>
    <w:family w:val="roman"/>
    <w:pitch w:val="variable"/>
    <w:sig w:usb0="E0002EFF" w:usb1="C000785B" w:usb2="00000009" w:usb3="00000000" w:csb0="000001FF" w:csb1="00000000"/>
    <w:embedRegular r:id="rId4" w:fontKey="{E90B9E1B-62C7-A445-8073-4735FFB1C8D5}"/>
    <w:embedItalic r:id="rId5" w:fontKey="{70233ACF-C5F5-3F4E-8223-F7D0E7ACB1EB}"/>
  </w:font>
  <w:font w:name="Calibri">
    <w:panose1 w:val="020F0502020204030204"/>
    <w:charset w:val="00"/>
    <w:family w:val="modern"/>
    <w:pitch w:val="variable"/>
    <w:sig w:usb0="00000003" w:usb1="00000000" w:usb2="00000000" w:usb3="00000000" w:csb0="00000001" w:csb1="00000000"/>
    <w:embedRegular r:id="rId6" w:fontKey="{47E486D8-BF1F-754B-B812-AC4A42FA75EF}"/>
  </w:font>
  <w:font w:name="Consolas">
    <w:panose1 w:val="020B0609020204030204"/>
    <w:charset w:val="00"/>
    <w:family w:val="modern"/>
    <w:pitch w:val="fixed"/>
    <w:sig w:usb0="E10002FF" w:usb1="4000FCFF" w:usb2="00000009" w:usb3="00000000" w:csb0="0000019F" w:csb1="00000000"/>
    <w:embedRegular r:id="rId7" w:fontKey="{1E17C869-479A-F44F-A84B-5FEDE232F7F7}"/>
  </w:font>
  <w:font w:name="Georgia">
    <w:panose1 w:val="02040502050405020303"/>
    <w:charset w:val="00"/>
    <w:family w:val="roman"/>
    <w:pitch w:val="variable"/>
    <w:sig w:usb0="00000287" w:usb1="00000000" w:usb2="00000000" w:usb3="00000000" w:csb0="0000009F" w:csb1="00000000"/>
    <w:embedRegular r:id="rId8" w:fontKey="{29EE4398-6131-3B47-B6C6-34327FABE499}"/>
    <w:embedItalic r:id="rId9" w:fontKey="{341DB34C-4A94-4646-B120-C0BD77F58199}"/>
  </w:font>
  <w:font w:name="Century Gothic">
    <w:panose1 w:val="020B0502020202020204"/>
    <w:charset w:val="00"/>
    <w:family w:val="swiss"/>
    <w:pitch w:val="variable"/>
    <w:sig w:usb0="00000287" w:usb1="00000000" w:usb2="00000000" w:usb3="00000000" w:csb0="0000009F" w:csb1="00000000"/>
    <w:embedRegular r:id="rId10" w:fontKey="{0CA21F61-CF24-0A4F-9B8B-62CCCC212FB7}"/>
    <w:embedBold r:id="rId11" w:fontKey="{44C72FB5-F6F9-3748-A4A0-5F7126E3C968}"/>
    <w:embedItalic r:id="rId12" w:fontKey="{048FEF24-9029-CD46-8263-C4BA264865DD}"/>
    <w:embedBoldItalic r:id="rId13" w:fontKey="{BF361305-31F4-C84A-B3D4-EF7375DD7177}"/>
  </w:font>
  <w:font w:name="Cambria">
    <w:panose1 w:val="02040503050406030204"/>
    <w:charset w:val="00"/>
    <w:family w:val="roman"/>
    <w:notTrueType/>
    <w:pitch w:val="default"/>
    <w:embedRegular r:id="rId14" w:fontKey="{19A260E9-6B17-6948-B03E-87D2A5C1D30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BDD78" w14:textId="77777777" w:rsidR="003F3347" w:rsidRDefault="00000000">
    <w:pPr>
      <w:pBdr>
        <w:top w:val="nil"/>
        <w:left w:val="nil"/>
        <w:bottom w:val="nil"/>
        <w:right w:val="nil"/>
        <w:between w:val="nil"/>
      </w:pBdr>
      <w:tabs>
        <w:tab w:val="center" w:pos="4252"/>
        <w:tab w:val="right" w:pos="8504"/>
      </w:tabs>
      <w:spacing w:line="240" w:lineRule="auto"/>
      <w:ind w:hanging="2"/>
      <w:jc w:val="right"/>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fldChar w:fldCharType="begin"/>
    </w:r>
    <w:r>
      <w:rPr>
        <w:rFonts w:ascii="Century Gothic" w:eastAsia="Century Gothic" w:hAnsi="Century Gothic" w:cs="Century Gothic"/>
        <w:color w:val="000000"/>
        <w:sz w:val="18"/>
        <w:szCs w:val="18"/>
      </w:rPr>
      <w:instrText>PAGE</w:instrText>
    </w:r>
    <w:r>
      <w:rPr>
        <w:rFonts w:ascii="Century Gothic" w:eastAsia="Century Gothic" w:hAnsi="Century Gothic" w:cs="Century Gothic"/>
        <w:color w:val="000000"/>
        <w:sz w:val="18"/>
        <w:szCs w:val="18"/>
      </w:rPr>
      <w:fldChar w:fldCharType="separate"/>
    </w:r>
    <w:r w:rsidR="00AA2A78">
      <w:rPr>
        <w:rFonts w:ascii="Century Gothic" w:eastAsia="Century Gothic" w:hAnsi="Century Gothic" w:cs="Century Gothic"/>
        <w:noProof/>
        <w:color w:val="000000"/>
        <w:sz w:val="18"/>
        <w:szCs w:val="18"/>
      </w:rPr>
      <w:t>1</w:t>
    </w:r>
    <w:r>
      <w:rPr>
        <w:rFonts w:ascii="Century Gothic" w:eastAsia="Century Gothic" w:hAnsi="Century Gothic" w:cs="Century Gothic"/>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2E6D2" w14:textId="77777777" w:rsidR="005510D3" w:rsidRDefault="005510D3">
      <w:pPr>
        <w:spacing w:line="240" w:lineRule="auto"/>
      </w:pPr>
      <w:r>
        <w:separator/>
      </w:r>
    </w:p>
  </w:footnote>
  <w:footnote w:type="continuationSeparator" w:id="0">
    <w:p w14:paraId="1D55AD61" w14:textId="77777777" w:rsidR="005510D3" w:rsidRDefault="005510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DB644" w14:textId="77777777" w:rsidR="003F3347" w:rsidRDefault="003F3347">
    <w:pPr>
      <w:pBdr>
        <w:top w:val="nil"/>
        <w:left w:val="nil"/>
        <w:bottom w:val="nil"/>
        <w:right w:val="nil"/>
        <w:between w:val="nil"/>
      </w:pBdr>
      <w:tabs>
        <w:tab w:val="center" w:pos="4252"/>
        <w:tab w:val="right" w:pos="8504"/>
      </w:tabs>
      <w:spacing w:line="240" w:lineRule="auto"/>
      <w:ind w:hanging="2"/>
      <w:rPr>
        <w:color w:val="000000"/>
      </w:rPr>
    </w:pPr>
  </w:p>
  <w:p w14:paraId="0F5604BB" w14:textId="77777777" w:rsidR="003F3347" w:rsidRDefault="003F3347">
    <w:pPr>
      <w:pBdr>
        <w:top w:val="nil"/>
        <w:left w:val="nil"/>
        <w:bottom w:val="nil"/>
        <w:right w:val="nil"/>
        <w:between w:val="nil"/>
      </w:pBdr>
      <w:tabs>
        <w:tab w:val="center" w:pos="4252"/>
        <w:tab w:val="right" w:pos="8504"/>
      </w:tabs>
      <w:spacing w:line="240" w:lineRule="auto"/>
      <w:ind w:hanging="2"/>
      <w:rPr>
        <w:color w:val="000000"/>
      </w:rPr>
    </w:pPr>
  </w:p>
  <w:p w14:paraId="72002BFC" w14:textId="77777777" w:rsidR="003F3347" w:rsidRDefault="003F3347">
    <w:pPr>
      <w:pBdr>
        <w:top w:val="nil"/>
        <w:left w:val="nil"/>
        <w:bottom w:val="nil"/>
        <w:right w:val="nil"/>
        <w:between w:val="nil"/>
      </w:pBdr>
      <w:tabs>
        <w:tab w:val="center" w:pos="4252"/>
        <w:tab w:val="right" w:pos="8504"/>
      </w:tabs>
      <w:spacing w:line="240" w:lineRule="auto"/>
      <w:ind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347"/>
    <w:rsid w:val="001021AE"/>
    <w:rsid w:val="003F3347"/>
    <w:rsid w:val="005510D3"/>
    <w:rsid w:val="00AA2A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1A605BF0"/>
  <w15:docId w15:val="{8EEE4AD3-9925-3C4B-88F8-AD72837CC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ES_tradnl" w:bidi="ar-SA"/>
      </w:rPr>
    </w:rPrDefault>
    <w:pPrDefault>
      <w:pPr>
        <w:spacing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00" w:after="120"/>
      <w:outlineLvl w:val="0"/>
    </w:pPr>
    <w:rPr>
      <w:color w:val="000000"/>
      <w:sz w:val="40"/>
      <w:szCs w:val="40"/>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120"/>
      <w:outlineLvl w:val="1"/>
    </w:pPr>
    <w:rPr>
      <w:color w:val="000000"/>
      <w:sz w:val="32"/>
      <w:szCs w:val="32"/>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40" w:after="80"/>
      <w:outlineLvl w:val="4"/>
    </w:pPr>
    <w:rPr>
      <w:color w:val="666666"/>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pBdr>
        <w:top w:val="nil"/>
        <w:left w:val="nil"/>
        <w:bottom w:val="nil"/>
        <w:right w:val="nil"/>
        <w:between w:val="nil"/>
      </w:pBdr>
      <w:spacing w:after="60"/>
    </w:pPr>
    <w:rPr>
      <w:color w:val="00000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next w:val="TableNormal3"/>
    <w:pPr>
      <w:suppressAutoHyphens/>
      <w:ind w:leftChars="-1" w:left="-1" w:hangingChars="1"/>
      <w:textDirection w:val="btLr"/>
      <w:textAlignment w:val="top"/>
      <w:outlineLvl w:val="0"/>
    </w:pPr>
    <w:rPr>
      <w:position w:val="-1"/>
      <w:lang w:eastAsia="es-ES"/>
    </w:rPr>
    <w:tblPr>
      <w:tblCellMar>
        <w:top w:w="0" w:type="dxa"/>
        <w:left w:w="0" w:type="dxa"/>
        <w:bottom w:w="0" w:type="dxa"/>
        <w:right w:w="0" w:type="dxa"/>
      </w:tblCellMar>
    </w:tblPr>
  </w:style>
  <w:style w:type="table" w:customStyle="1" w:styleId="a">
    <w:basedOn w:val="TableNormal4"/>
    <w:pPr>
      <w:spacing w:line="240" w:lineRule="auto"/>
    </w:pPr>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0">
    <w:basedOn w:val="TableNormal4"/>
    <w:pPr>
      <w:spacing w:line="240" w:lineRule="auto"/>
    </w:pPr>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1">
    <w:basedOn w:val="TableNormal4"/>
    <w:pPr>
      <w:spacing w:line="240" w:lineRule="auto"/>
    </w:pPr>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2">
    <w:basedOn w:val="TableNormal4"/>
    <w:pPr>
      <w:spacing w:line="240" w:lineRule="auto"/>
    </w:pPr>
    <w:rPr>
      <w:rFonts w:ascii="Calibri" w:eastAsia="Calibri" w:hAnsi="Calibri" w:cs="Calibri"/>
      <w:sz w:val="20"/>
      <w:szCs w:val="20"/>
    </w:rPr>
    <w:tblPr>
      <w:tblStyleRowBandSize w:val="1"/>
      <w:tblStyleColBandSize w:val="1"/>
      <w:tblCellMar>
        <w:left w:w="108" w:type="dxa"/>
        <w:right w:w="108" w:type="dxa"/>
      </w:tblCellMar>
    </w:tblPr>
  </w:style>
  <w:style w:type="paragraph" w:styleId="NormalWeb">
    <w:name w:val="Normal (Web)"/>
    <w:basedOn w:val="Normal"/>
    <w:uiPriority w:val="99"/>
    <w:qFormat/>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character" w:styleId="nfasis">
    <w:name w:val="Emphasis"/>
    <w:uiPriority w:val="20"/>
    <w:qFormat/>
    <w:rPr>
      <w:i/>
      <w:iCs/>
      <w:w w:val="100"/>
      <w:position w:val="-1"/>
      <w:effect w:val="none"/>
      <w:vertAlign w:val="baseline"/>
      <w:cs w:val="0"/>
      <w:em w:val="none"/>
    </w:rPr>
  </w:style>
  <w:style w:type="paragraph" w:styleId="Textosinformato">
    <w:name w:val="Plain Text"/>
    <w:basedOn w:val="Normal"/>
    <w:qFormat/>
    <w:pPr>
      <w:spacing w:line="240" w:lineRule="auto"/>
    </w:pPr>
    <w:rPr>
      <w:rFonts w:ascii="Consolas" w:eastAsia="Calibri" w:hAnsi="Consolas" w:cs="Times New Roman"/>
      <w:sz w:val="21"/>
      <w:szCs w:val="21"/>
      <w:lang w:val="en-US" w:eastAsia="en-US"/>
    </w:rPr>
  </w:style>
  <w:style w:type="character" w:customStyle="1" w:styleId="TextosinformatoCar">
    <w:name w:val="Texto sin formato Car"/>
    <w:rPr>
      <w:rFonts w:ascii="Consolas" w:eastAsia="Calibri" w:hAnsi="Consolas" w:cs="Times New Roman"/>
      <w:w w:val="100"/>
      <w:position w:val="-1"/>
      <w:sz w:val="21"/>
      <w:szCs w:val="21"/>
      <w:effect w:val="none"/>
      <w:vertAlign w:val="baseline"/>
      <w:cs w:val="0"/>
      <w:em w:val="none"/>
      <w:lang w:val="en-US" w:eastAsia="en-US"/>
    </w:rPr>
  </w:style>
  <w:style w:type="table" w:styleId="Tabladecuadrcula4">
    <w:name w:val="Grid Table 4"/>
    <w:basedOn w:val="Tablanormal"/>
    <w:pPr>
      <w:suppressAutoHyphens/>
      <w:spacing w:line="1" w:lineRule="atLeast"/>
      <w:ind w:leftChars="-1" w:left="-1" w:hangingChars="1"/>
      <w:textDirection w:val="btLr"/>
      <w:textAlignment w:val="top"/>
      <w:outlineLvl w:val="0"/>
    </w:pPr>
    <w:rPr>
      <w:rFonts w:ascii="Calibri" w:eastAsia="Calibri" w:hAnsi="Calibri" w:cs="Times New Roman"/>
      <w:position w:val="-1"/>
      <w:lang w:val="en-US"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style>
  <w:style w:type="paragraph" w:styleId="Prrafodelista">
    <w:name w:val="List Paragraph"/>
    <w:basedOn w:val="Normal"/>
    <w:pPr>
      <w:ind w:left="708"/>
    </w:pPr>
  </w:style>
  <w:style w:type="table" w:customStyle="1" w:styleId="a3">
    <w:basedOn w:val="TableNormal4"/>
    <w:tblPr>
      <w:tblStyleRowBandSize w:val="1"/>
      <w:tblStyleColBandSize w:val="1"/>
      <w:tblCellMar>
        <w:top w:w="100" w:type="dxa"/>
        <w:left w:w="100" w:type="dxa"/>
        <w:bottom w:w="100" w:type="dxa"/>
        <w:right w:w="100" w:type="dxa"/>
      </w:tblCellMar>
    </w:tblPr>
  </w:style>
  <w:style w:type="table" w:customStyle="1" w:styleId="a4">
    <w:basedOn w:val="TableNormal4"/>
    <w:tblPr>
      <w:tblStyleRowBandSize w:val="1"/>
      <w:tblStyleColBandSize w:val="1"/>
      <w:tblCellMar>
        <w:top w:w="100" w:type="dxa"/>
        <w:left w:w="100" w:type="dxa"/>
        <w:bottom w:w="100" w:type="dxa"/>
        <w:right w:w="100" w:type="dxa"/>
      </w:tblCellMar>
    </w:tblPr>
  </w:style>
  <w:style w:type="table" w:customStyle="1" w:styleId="a5">
    <w:basedOn w:val="TableNormal4"/>
    <w:tblPr>
      <w:tblStyleRowBandSize w:val="1"/>
      <w:tblStyleColBandSize w:val="1"/>
      <w:tblCellMar>
        <w:top w:w="100" w:type="dxa"/>
        <w:left w:w="100" w:type="dxa"/>
        <w:bottom w:w="100" w:type="dxa"/>
        <w:right w:w="100" w:type="dxa"/>
      </w:tblCellMar>
    </w:tblPr>
  </w:style>
  <w:style w:type="table" w:customStyle="1" w:styleId="a6">
    <w:basedOn w:val="TableNormal4"/>
    <w:tblPr>
      <w:tblStyleRowBandSize w:val="1"/>
      <w:tblStyleColBandSize w:val="1"/>
      <w:tblCellMar>
        <w:top w:w="100" w:type="dxa"/>
        <w:left w:w="100" w:type="dxa"/>
        <w:bottom w:w="100" w:type="dxa"/>
        <w:right w:w="100" w:type="dxa"/>
      </w:tblCellMar>
    </w:tblPr>
  </w:style>
  <w:style w:type="character" w:styleId="Hipervnculo">
    <w:name w:val="Hyperlink"/>
    <w:basedOn w:val="Fuentedeprrafopredeter"/>
    <w:uiPriority w:val="99"/>
    <w:unhideWhenUsed/>
    <w:rsid w:val="002F7799"/>
    <w:rPr>
      <w:color w:val="0000FF" w:themeColor="hyperlink"/>
      <w:u w:val="single"/>
    </w:rPr>
  </w:style>
  <w:style w:type="character" w:styleId="Mencinsinresolver">
    <w:name w:val="Unresolved Mention"/>
    <w:basedOn w:val="Fuentedeprrafopredeter"/>
    <w:uiPriority w:val="99"/>
    <w:semiHidden/>
    <w:unhideWhenUsed/>
    <w:rsid w:val="002F7799"/>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rensa@sergat.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XgjU/4VKN3cuLULN+YoHf7PjwQ==">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784</Words>
  <Characters>4137</Characters>
  <Application>Microsoft Office Word</Application>
  <DocSecurity>0</DocSecurity>
  <Lines>82</Lines>
  <Paragraphs>31</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4890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2</cp:revision>
  <dcterms:created xsi:type="dcterms:W3CDTF">2025-10-24T10:27:00Z</dcterms:created>
  <dcterms:modified xsi:type="dcterms:W3CDTF">2025-10-24T11:17:00Z</dcterms:modified>
  <cp:category/>
</cp:coreProperties>
</file>