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0DE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rsidR="00790DE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rsidR="00790DE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rsidR="00790DE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rsidR="00790DEE"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790DEE">
        <w:trPr>
          <w:jc w:val="center"/>
        </w:trPr>
        <w:tc>
          <w:tcPr>
            <w:tcW w:w="5775" w:type="dxa"/>
            <w:vAlign w:val="center"/>
          </w:tcPr>
          <w:p w:rsidR="00790DEE" w:rsidRDefault="00790DEE">
            <w:pPr>
              <w:jc w:val="center"/>
              <w:rPr>
                <w:sz w:val="20"/>
                <w:szCs w:val="20"/>
              </w:rPr>
            </w:pPr>
          </w:p>
        </w:tc>
      </w:tr>
    </w:tbl>
    <w:p w:rsidR="00790DEE"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encabeza la clasificación del programa “</w:t>
      </w:r>
      <w:proofErr w:type="spellStart"/>
      <w:r>
        <w:rPr>
          <w:rFonts w:ascii="Century Gothic" w:eastAsia="Century Gothic" w:hAnsi="Century Gothic" w:cs="Century Gothic"/>
          <w:b/>
        </w:rPr>
        <w:t>Fly</w:t>
      </w:r>
      <w:proofErr w:type="spellEnd"/>
      <w:r>
        <w:rPr>
          <w:rFonts w:ascii="Century Gothic" w:eastAsia="Century Gothic" w:hAnsi="Century Gothic" w:cs="Century Gothic"/>
          <w:b/>
        </w:rPr>
        <w:t xml:space="preserve"> </w:t>
      </w:r>
      <w:proofErr w:type="spellStart"/>
      <w:r>
        <w:rPr>
          <w:rFonts w:ascii="Century Gothic" w:eastAsia="Century Gothic" w:hAnsi="Century Gothic" w:cs="Century Gothic"/>
          <w:b/>
        </w:rPr>
        <w:t>Quiet</w:t>
      </w:r>
      <w:proofErr w:type="spellEnd"/>
      <w:r>
        <w:rPr>
          <w:rFonts w:ascii="Century Gothic" w:eastAsia="Century Gothic" w:hAnsi="Century Gothic" w:cs="Century Gothic"/>
          <w:b/>
        </w:rPr>
        <w:t>” del aeropuerto JFK, reforzando su compromiso con vuelos más silenciosos</w:t>
      </w:r>
    </w:p>
    <w:p w:rsidR="00790DEE" w:rsidRDefault="00000000">
      <w:pPr>
        <w:numPr>
          <w:ilvl w:val="0"/>
          <w:numId w:val="1"/>
        </w:numPr>
        <w:pBdr>
          <w:top w:val="nil"/>
          <w:left w:val="nil"/>
          <w:bottom w:val="nil"/>
          <w:right w:val="nil"/>
          <w:between w:val="nil"/>
        </w:pBdr>
        <w:spacing w:before="280"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sz w:val="22"/>
          <w:szCs w:val="22"/>
        </w:rPr>
        <w:t>Es la ú</w:t>
      </w:r>
      <w:r>
        <w:rPr>
          <w:rFonts w:ascii="Century Gothic" w:eastAsia="Century Gothic" w:hAnsi="Century Gothic" w:cs="Century Gothic"/>
          <w:i/>
          <w:color w:val="000000"/>
          <w:sz w:val="22"/>
          <w:szCs w:val="22"/>
        </w:rPr>
        <w:t xml:space="preserve">nica aerolínea reconocida con el estatus </w:t>
      </w:r>
      <w:r>
        <w:rPr>
          <w:rFonts w:ascii="Century Gothic" w:eastAsia="Century Gothic" w:hAnsi="Century Gothic" w:cs="Century Gothic"/>
          <w:i/>
          <w:sz w:val="22"/>
          <w:szCs w:val="22"/>
        </w:rPr>
        <w:t>“</w:t>
      </w:r>
      <w:r>
        <w:rPr>
          <w:rFonts w:ascii="Century Gothic" w:eastAsia="Century Gothic" w:hAnsi="Century Gothic" w:cs="Century Gothic"/>
          <w:i/>
          <w:color w:val="000000"/>
          <w:sz w:val="22"/>
          <w:szCs w:val="22"/>
        </w:rPr>
        <w:t xml:space="preserve">Gold </w:t>
      </w:r>
      <w:proofErr w:type="spellStart"/>
      <w:r>
        <w:rPr>
          <w:rFonts w:ascii="Century Gothic" w:eastAsia="Century Gothic" w:hAnsi="Century Gothic" w:cs="Century Gothic"/>
          <w:i/>
          <w:color w:val="000000"/>
          <w:sz w:val="22"/>
          <w:szCs w:val="22"/>
        </w:rPr>
        <w:t>Tier</w:t>
      </w:r>
      <w:proofErr w:type="spellEnd"/>
      <w:r>
        <w:rPr>
          <w:rFonts w:ascii="Century Gothic" w:eastAsia="Century Gothic" w:hAnsi="Century Gothic" w:cs="Century Gothic"/>
          <w:i/>
          <w:sz w:val="22"/>
          <w:szCs w:val="22"/>
        </w:rPr>
        <w:t>”</w:t>
      </w:r>
      <w:r>
        <w:rPr>
          <w:rFonts w:ascii="Century Gothic" w:eastAsia="Century Gothic" w:hAnsi="Century Gothic" w:cs="Century Gothic"/>
          <w:i/>
          <w:color w:val="000000"/>
          <w:sz w:val="22"/>
          <w:szCs w:val="22"/>
        </w:rPr>
        <w:t xml:space="preserve"> para 2024 entre todas las compañías participantes en el programa </w:t>
      </w:r>
      <w:r>
        <w:rPr>
          <w:rFonts w:ascii="Century Gothic" w:eastAsia="Century Gothic" w:hAnsi="Century Gothic" w:cs="Century Gothic"/>
          <w:i/>
          <w:sz w:val="22"/>
          <w:szCs w:val="22"/>
        </w:rPr>
        <w:t>“</w:t>
      </w:r>
      <w:r>
        <w:rPr>
          <w:rFonts w:ascii="Century Gothic" w:eastAsia="Century Gothic" w:hAnsi="Century Gothic" w:cs="Century Gothic"/>
          <w:i/>
          <w:color w:val="000000"/>
          <w:sz w:val="22"/>
          <w:szCs w:val="22"/>
        </w:rPr>
        <w:t xml:space="preserve">JFK </w:t>
      </w:r>
      <w:proofErr w:type="spellStart"/>
      <w:r>
        <w:rPr>
          <w:rFonts w:ascii="Century Gothic" w:eastAsia="Century Gothic" w:hAnsi="Century Gothic" w:cs="Century Gothic"/>
          <w:i/>
          <w:color w:val="000000"/>
          <w:sz w:val="22"/>
          <w:szCs w:val="22"/>
        </w:rPr>
        <w:t>Fly</w:t>
      </w:r>
      <w:proofErr w:type="spellEnd"/>
      <w:r>
        <w:rPr>
          <w:rFonts w:ascii="Century Gothic" w:eastAsia="Century Gothic" w:hAnsi="Century Gothic" w:cs="Century Gothic"/>
          <w:i/>
          <w:color w:val="000000"/>
          <w:sz w:val="22"/>
          <w:szCs w:val="22"/>
        </w:rPr>
        <w:t xml:space="preserve"> </w:t>
      </w:r>
      <w:proofErr w:type="spellStart"/>
      <w:r>
        <w:rPr>
          <w:rFonts w:ascii="Century Gothic" w:eastAsia="Century Gothic" w:hAnsi="Century Gothic" w:cs="Century Gothic"/>
          <w:i/>
          <w:color w:val="000000"/>
          <w:sz w:val="22"/>
          <w:szCs w:val="22"/>
        </w:rPr>
        <w:t>Quiet</w:t>
      </w:r>
      <w:proofErr w:type="spellEnd"/>
      <w:r>
        <w:rPr>
          <w:rFonts w:ascii="Century Gothic" w:eastAsia="Century Gothic" w:hAnsi="Century Gothic" w:cs="Century Gothic"/>
          <w:i/>
          <w:sz w:val="22"/>
          <w:szCs w:val="22"/>
        </w:rPr>
        <w:t>”</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i/>
          <w:sz w:val="22"/>
          <w:szCs w:val="22"/>
        </w:rPr>
        <w:t xml:space="preserve">obteniendo la </w:t>
      </w:r>
      <w:r>
        <w:rPr>
          <w:rFonts w:ascii="Century Gothic" w:eastAsia="Century Gothic" w:hAnsi="Century Gothic" w:cs="Century Gothic"/>
          <w:i/>
          <w:color w:val="000000"/>
          <w:sz w:val="22"/>
          <w:szCs w:val="22"/>
        </w:rPr>
        <w:t>máxima</w:t>
      </w:r>
      <w:r>
        <w:rPr>
          <w:rFonts w:ascii="Century Gothic" w:eastAsia="Century Gothic" w:hAnsi="Century Gothic" w:cs="Century Gothic"/>
          <w:i/>
          <w:sz w:val="22"/>
          <w:szCs w:val="22"/>
        </w:rPr>
        <w:t xml:space="preserve"> puntuación</w:t>
      </w:r>
      <w:r>
        <w:rPr>
          <w:rFonts w:ascii="Century Gothic" w:eastAsia="Century Gothic" w:hAnsi="Century Gothic" w:cs="Century Gothic"/>
          <w:i/>
          <w:color w:val="000000"/>
          <w:sz w:val="22"/>
          <w:szCs w:val="22"/>
        </w:rPr>
        <w:t xml:space="preserve"> de 92,9, muy por encima de otras </w:t>
      </w:r>
      <w:r>
        <w:rPr>
          <w:rFonts w:ascii="Century Gothic" w:eastAsia="Century Gothic" w:hAnsi="Century Gothic" w:cs="Century Gothic"/>
          <w:i/>
          <w:sz w:val="22"/>
          <w:szCs w:val="22"/>
        </w:rPr>
        <w:t>aerolíneas</w:t>
      </w:r>
    </w:p>
    <w:p w:rsidR="00790DEE" w:rsidRDefault="00000000">
      <w:pPr>
        <w:numPr>
          <w:ilvl w:val="0"/>
          <w:numId w:val="1"/>
        </w:numPr>
        <w:pBdr>
          <w:top w:val="nil"/>
          <w:left w:val="nil"/>
          <w:bottom w:val="nil"/>
          <w:right w:val="nil"/>
          <w:between w:val="nil"/>
        </w:pBdr>
        <w:spacing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color w:val="000000"/>
          <w:sz w:val="22"/>
          <w:szCs w:val="22"/>
        </w:rPr>
        <w:t xml:space="preserve">Todos los aviones de la flota de la aerolínea cumplen las normas de ruido </w:t>
      </w:r>
      <w:r>
        <w:rPr>
          <w:rFonts w:ascii="Century Gothic" w:eastAsia="Century Gothic" w:hAnsi="Century Gothic" w:cs="Century Gothic"/>
          <w:i/>
          <w:sz w:val="22"/>
          <w:szCs w:val="22"/>
        </w:rPr>
        <w:t>de los Capítulos 4 y 14 de la OACI</w:t>
      </w:r>
      <w:r>
        <w:rPr>
          <w:rFonts w:ascii="Century Gothic" w:eastAsia="Century Gothic" w:hAnsi="Century Gothic" w:cs="Century Gothic"/>
          <w:i/>
          <w:color w:val="000000"/>
          <w:sz w:val="22"/>
          <w:szCs w:val="22"/>
        </w:rPr>
        <w:t>, lo que refleja la inversión continua en tecnologías aeronáuticas modernas, más silenciosas y con mayor eficiencia de combustible</w:t>
      </w:r>
    </w:p>
    <w:p w:rsidR="00790DEE" w:rsidRDefault="00000000">
      <w:pPr>
        <w:numPr>
          <w:ilvl w:val="0"/>
          <w:numId w:val="1"/>
        </w:numPr>
        <w:pBdr>
          <w:top w:val="nil"/>
          <w:left w:val="nil"/>
          <w:bottom w:val="nil"/>
          <w:right w:val="nil"/>
          <w:between w:val="nil"/>
        </w:pBdr>
        <w:spacing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color w:val="000000"/>
          <w:sz w:val="22"/>
          <w:szCs w:val="22"/>
        </w:rPr>
        <w:t xml:space="preserve">La estrategia integral de reducción del ruido de la aerolínea se basa en el rigor de los procedimientos, la tecnología innovadora y la colaboración de las partes interesadas para superar las expectativas </w:t>
      </w:r>
      <w:r>
        <w:rPr>
          <w:rFonts w:ascii="Century Gothic" w:eastAsia="Century Gothic" w:hAnsi="Century Gothic" w:cs="Century Gothic"/>
          <w:i/>
          <w:sz w:val="22"/>
          <w:szCs w:val="22"/>
        </w:rPr>
        <w:t xml:space="preserve">regulatorias </w:t>
      </w:r>
      <w:r>
        <w:rPr>
          <w:rFonts w:ascii="Century Gothic" w:eastAsia="Century Gothic" w:hAnsi="Century Gothic" w:cs="Century Gothic"/>
          <w:i/>
          <w:color w:val="000000"/>
          <w:sz w:val="22"/>
          <w:szCs w:val="22"/>
        </w:rPr>
        <w:t>y hacer que los cielos sean más silenciosos</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23 de octubre de 2025: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 sido galardonada con el prestigioso reconocimiento </w:t>
      </w:r>
      <w:r>
        <w:rPr>
          <w:rFonts w:ascii="Century Gothic" w:eastAsia="Century Gothic" w:hAnsi="Century Gothic" w:cs="Century Gothic"/>
          <w:i/>
          <w:sz w:val="22"/>
          <w:szCs w:val="22"/>
        </w:rPr>
        <w:t xml:space="preserve">Gold </w:t>
      </w:r>
      <w:proofErr w:type="spellStart"/>
      <w:r>
        <w:rPr>
          <w:rFonts w:ascii="Century Gothic" w:eastAsia="Century Gothic" w:hAnsi="Century Gothic" w:cs="Century Gothic"/>
          <w:i/>
          <w:sz w:val="22"/>
          <w:szCs w:val="22"/>
        </w:rPr>
        <w:t>Tier</w:t>
      </w:r>
      <w:proofErr w:type="spellEnd"/>
      <w:r>
        <w:rPr>
          <w:rFonts w:ascii="Century Gothic" w:eastAsia="Century Gothic" w:hAnsi="Century Gothic" w:cs="Century Gothic"/>
          <w:sz w:val="22"/>
          <w:szCs w:val="22"/>
        </w:rPr>
        <w:t xml:space="preserve"> en el programa “</w:t>
      </w:r>
      <w:proofErr w:type="spellStart"/>
      <w:r>
        <w:rPr>
          <w:rFonts w:ascii="Century Gothic" w:eastAsia="Century Gothic" w:hAnsi="Century Gothic" w:cs="Century Gothic"/>
          <w:i/>
          <w:sz w:val="22"/>
          <w:szCs w:val="22"/>
        </w:rPr>
        <w:t>Fly</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Quiet</w:t>
      </w:r>
      <w:proofErr w:type="spellEnd"/>
      <w:r>
        <w:rPr>
          <w:rFonts w:ascii="Century Gothic" w:eastAsia="Century Gothic" w:hAnsi="Century Gothic" w:cs="Century Gothic"/>
          <w:sz w:val="22"/>
          <w:szCs w:val="22"/>
        </w:rPr>
        <w:t xml:space="preserve"> 2024” del aeropuerto JFK de Nueva York, siendo la única aerolínea en lograr esta distinción. La puntuación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92,9*, ha superado con creces a la de otras aerolíneas que vuelan al aeropuerto y participan en el programa.</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programa “</w:t>
      </w:r>
      <w:proofErr w:type="spellStart"/>
      <w:r>
        <w:rPr>
          <w:rFonts w:ascii="Century Gothic" w:eastAsia="Century Gothic" w:hAnsi="Century Gothic" w:cs="Century Gothic"/>
          <w:i/>
          <w:sz w:val="22"/>
          <w:szCs w:val="22"/>
        </w:rPr>
        <w:t>Fly</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Quiet</w:t>
      </w:r>
      <w:proofErr w:type="spellEnd"/>
      <w:r>
        <w:rPr>
          <w:rFonts w:ascii="Century Gothic" w:eastAsia="Century Gothic" w:hAnsi="Century Gothic" w:cs="Century Gothic"/>
          <w:i/>
          <w:sz w:val="22"/>
          <w:szCs w:val="22"/>
        </w:rPr>
        <w:t>”</w:t>
      </w:r>
      <w:r>
        <w:rPr>
          <w:rFonts w:ascii="Century Gothic" w:eastAsia="Century Gothic" w:hAnsi="Century Gothic" w:cs="Century Gothic"/>
          <w:sz w:val="22"/>
          <w:szCs w:val="22"/>
        </w:rPr>
        <w:t>, desarrollado por la Autoridad Portuaria de Nueva York y Nueva Jersey, es una iniciativa voluntaria que anima a las aerolíneas a minimizar su huella acústica mediante la utilización de aviones más silenciosos, así como la adopción de procedimientos de reducción del ruido y el uso preferencial de las pistas.</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Este reconocimiento “</w:t>
      </w:r>
      <w:r>
        <w:rPr>
          <w:rFonts w:ascii="Century Gothic" w:eastAsia="Century Gothic" w:hAnsi="Century Gothic" w:cs="Century Gothic"/>
          <w:i/>
          <w:sz w:val="22"/>
          <w:szCs w:val="22"/>
        </w:rPr>
        <w:t xml:space="preserve">Gold </w:t>
      </w:r>
      <w:proofErr w:type="spellStart"/>
      <w:r>
        <w:rPr>
          <w:rFonts w:ascii="Century Gothic" w:eastAsia="Century Gothic" w:hAnsi="Century Gothic" w:cs="Century Gothic"/>
          <w:i/>
          <w:sz w:val="22"/>
          <w:szCs w:val="22"/>
        </w:rPr>
        <w:t>Tier</w:t>
      </w:r>
      <w:proofErr w:type="spellEnd"/>
      <w:r>
        <w:rPr>
          <w:rFonts w:ascii="Century Gothic" w:eastAsia="Century Gothic" w:hAnsi="Century Gothic" w:cs="Century Gothic"/>
          <w:i/>
          <w:sz w:val="22"/>
          <w:szCs w:val="22"/>
        </w:rPr>
        <w:t>”</w:t>
      </w:r>
      <w:r>
        <w:rPr>
          <w:rFonts w:ascii="Century Gothic" w:eastAsia="Century Gothic" w:hAnsi="Century Gothic" w:cs="Century Gothic"/>
          <w:sz w:val="22"/>
          <w:szCs w:val="22"/>
        </w:rPr>
        <w:t xml:space="preserve"> refleja el compromiso de la aerolínea con la reducción del ruido en uno de los aeropuertos más transitados y operativamente complejos del mundo. Desde el inicio del programa,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 colaborado estrechamente con la Autoridad Portuaria, y el equipo de operaciones de vuelo de la aerolínea ha realizado esfuerzos continuos para superar todos los requisitos del programa. El último galardón en uno de los centros internacionales más transitados del mundo se suma a una serie de reconocimientos del sector en materia de gestión del ruido a lo largo de los años, entre los que se incluyen el nivel “</w:t>
      </w:r>
      <w:r>
        <w:rPr>
          <w:rFonts w:ascii="Century Gothic" w:eastAsia="Century Gothic" w:hAnsi="Century Gothic" w:cs="Century Gothic"/>
          <w:i/>
          <w:sz w:val="22"/>
          <w:szCs w:val="22"/>
        </w:rPr>
        <w:t>Silver”</w:t>
      </w:r>
      <w:r>
        <w:rPr>
          <w:rFonts w:ascii="Century Gothic" w:eastAsia="Century Gothic" w:hAnsi="Century Gothic" w:cs="Century Gothic"/>
          <w:sz w:val="22"/>
          <w:szCs w:val="22"/>
        </w:rPr>
        <w:t xml:space="preserve"> en Newark (EWR) y el “</w:t>
      </w:r>
      <w:proofErr w:type="spellStart"/>
      <w:r>
        <w:rPr>
          <w:rFonts w:ascii="Century Gothic" w:eastAsia="Century Gothic" w:hAnsi="Century Gothic" w:cs="Century Gothic"/>
          <w:i/>
          <w:sz w:val="22"/>
          <w:szCs w:val="22"/>
        </w:rPr>
        <w:t>Chairperson's</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Award</w:t>
      </w:r>
      <w:proofErr w:type="spellEnd"/>
      <w:r>
        <w:rPr>
          <w:rFonts w:ascii="Century Gothic" w:eastAsia="Century Gothic" w:hAnsi="Century Gothic" w:cs="Century Gothic"/>
          <w:i/>
          <w:sz w:val="22"/>
          <w:szCs w:val="22"/>
        </w:rPr>
        <w:t>”</w:t>
      </w:r>
      <w:r>
        <w:rPr>
          <w:rFonts w:ascii="Century Gothic" w:eastAsia="Century Gothic" w:hAnsi="Century Gothic" w:cs="Century Gothic"/>
          <w:sz w:val="22"/>
          <w:szCs w:val="22"/>
        </w:rPr>
        <w:t xml:space="preserve"> en los programas “</w:t>
      </w:r>
      <w:proofErr w:type="spellStart"/>
      <w:r>
        <w:rPr>
          <w:rFonts w:ascii="Century Gothic" w:eastAsia="Century Gothic" w:hAnsi="Century Gothic" w:cs="Century Gothic"/>
          <w:i/>
          <w:sz w:val="22"/>
          <w:szCs w:val="22"/>
        </w:rPr>
        <w:t>Fly</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Quiet</w:t>
      </w:r>
      <w:proofErr w:type="spellEnd"/>
      <w:r>
        <w:rPr>
          <w:rFonts w:ascii="Century Gothic" w:eastAsia="Century Gothic" w:hAnsi="Century Gothic" w:cs="Century Gothic"/>
          <w:i/>
          <w:sz w:val="22"/>
          <w:szCs w:val="22"/>
        </w:rPr>
        <w:t>”</w:t>
      </w:r>
      <w:r>
        <w:rPr>
          <w:rFonts w:ascii="Century Gothic" w:eastAsia="Century Gothic" w:hAnsi="Century Gothic" w:cs="Century Gothic"/>
          <w:sz w:val="22"/>
          <w:szCs w:val="22"/>
        </w:rPr>
        <w:t xml:space="preserve"> de San Francisco (SFO).</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niveles de ruido de la flota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registran un notable margen acumulativo que supera en más de 12 </w:t>
      </w:r>
      <w:proofErr w:type="spellStart"/>
      <w:r>
        <w:rPr>
          <w:rFonts w:ascii="Century Gothic" w:eastAsia="Century Gothic" w:hAnsi="Century Gothic" w:cs="Century Gothic"/>
          <w:sz w:val="22"/>
          <w:szCs w:val="22"/>
        </w:rPr>
        <w:t>EPNdB</w:t>
      </w:r>
      <w:proofErr w:type="spellEnd"/>
      <w:r>
        <w:rPr>
          <w:rFonts w:ascii="Century Gothic" w:eastAsia="Century Gothic" w:hAnsi="Century Gothic" w:cs="Century Gothic"/>
          <w:sz w:val="22"/>
          <w:szCs w:val="22"/>
        </w:rPr>
        <w:t xml:space="preserve"> los requisitos del capítulo 4 de la OACI**. Toda la flota de fuselaje ancho de la aerolínea y sus operaciones de alta capacidad transportan pasajeros de manera eficiente, al tiempo que logran optimizar la emisión de ruido con un promedio de 1,75 millones de pasajeros-kilómetros por sector, lo que implica un evento de ruido de llegada y otro de salida***. En pocas palabras, esto significa aviones más llenos que vuelan sin escalas en distancias más largas, a la vez que se optimiza la emisión de ruido.</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eficiencia operativa gracias a los aviones de gran capacidad y largo alcance ayuda a lograr una eficiencia acústica global significativa. Consideremos una ruta que da servicio a 500 pasajeros diarios, que un solo avión de fuselaje ancho Airbus A380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completa con un evento de ruido de llegada y otro de salida. Las operaciones en la misma ruta con aviones más pequeños, que tienen características de ruido diferentes en comparación con los aviones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pueden requerir hasta tres vuelos en cada dirección, así como una parada técnica, lo que genera un total de seis eventos de ruido de llegada y seis de salida para la misma operación. La naturaleza de la red de la aerolínea y las operaciones de alta capacidad impulsadas por una flota de aviones de fuselaje ancho es la forma en que el modelo operativo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optimiza la emisión de ruido al tiempo que mantiene una conectividad vital para las comunidades.</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La conectividad aérea ofrece beneficios a la comunidad que se extienden mucho más allá de los límites del aeropuerto, ya que une a familias y amigos de distintos continentes, genera una importante actividad económica en las comunidades locales, crea oportunidades de empleo y facilita el comercio internacional y el turismo para impulsar la prosperidad.</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Un compromiso con unos cielos más silenciosos</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reducción del ruido de los aviones es fundamental para proteger la salud y la calidad de vida de las comunidades cercanas a los aeropuertos. El compromiso de la aerolínea de minimizar su impacto acústico refleja su apoyo a las comunidades locales de los destinos a los que vuela, reconociendo que incluso las pequeñas decisiones en las operaciones de vuelo pueden conducir a una reducción significativa del ruido en tierra.</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estrategia de reducción del ruido de la aerolínea engloba todos los medios disponibles, manteniendo al mismo tiempo los más altos estándares de diligencia operativa, entre los que se incluyen:</w:t>
      </w:r>
    </w:p>
    <w:p w:rsidR="00790DEE" w:rsidRDefault="00790DE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rsidR="00790DEE"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Cumplimiento de la reducción del ruido y los toques de queda</w:t>
      </w:r>
      <w:r>
        <w:rPr>
          <w:rFonts w:ascii="Century Gothic" w:eastAsia="Century Gothic" w:hAnsi="Century Gothic" w:cs="Century Gothic"/>
          <w:sz w:val="22"/>
          <w:szCs w:val="22"/>
        </w:rPr>
        <w:t xml:space="preserve">: la estrategia de gestión del ruido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exige el cumplimiento estricto de los procedimientos de salida para la reducción del ruido (NADP). Estos procedimientos, publicados por las autoridades estatales, se integran en los procedimientos operativos estándar (SOP)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son seguidos meticulosamente por todas las tripulaciones de vuelo. La aerolínea también garantiza el cumplimiento continuo de los toques de queda y restricciones específicas de cada aeropuerto, respetando las directrices locales en cada destino.</w:t>
      </w:r>
    </w:p>
    <w:p w:rsidR="00790DEE"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Prioridad de las pistas preferenciales en materia de ruido</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utiliza de forma proactiva las pistas preferenciales en materia de ruido siempre que es viable desde el punto de vista operativo, incluso cuando se enfrenta a condiciones difíciles, como vientos de cola, manteniendo las normas de seguridad.</w:t>
      </w:r>
    </w:p>
    <w:p w:rsidR="00790DEE"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Supervisión transparente y responsabilidad</w:t>
      </w:r>
      <w:r>
        <w:rPr>
          <w:rFonts w:ascii="Century Gothic" w:eastAsia="Century Gothic" w:hAnsi="Century Gothic" w:cs="Century Gothic"/>
          <w:sz w:val="22"/>
          <w:szCs w:val="22"/>
        </w:rPr>
        <w:t xml:space="preserve">: la responsabilidad impulsa el enfoque operativo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Cualquier desviación de los procedimientos de ruido da lugar a informes obligatorios de la tripulación, que se someten a una rigurosa revisión para identificar las causas fundamentales y aplicar mejoras. Este ciclo continuo de retroalimentación respalda el compromiso de la aerolínea con la mejora constante y las operaciones responsables.</w:t>
      </w:r>
    </w:p>
    <w:p w:rsidR="00790DEE"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Una flota más silenciosa</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opera una de las flotas de fuselaje ancho más silenciosas del sector, con márgenes </w:t>
      </w:r>
      <w:proofErr w:type="spellStart"/>
      <w:r>
        <w:rPr>
          <w:rFonts w:ascii="Century Gothic" w:eastAsia="Century Gothic" w:hAnsi="Century Gothic" w:cs="Century Gothic"/>
          <w:sz w:val="22"/>
          <w:szCs w:val="22"/>
        </w:rPr>
        <w:t>EPNdB</w:t>
      </w:r>
      <w:proofErr w:type="spellEnd"/>
      <w:r>
        <w:rPr>
          <w:rFonts w:ascii="Century Gothic" w:eastAsia="Century Gothic" w:hAnsi="Century Gothic" w:cs="Century Gothic"/>
          <w:sz w:val="22"/>
          <w:szCs w:val="22"/>
        </w:rPr>
        <w:t xml:space="preserve"> acumulativos que cumplen o superan las normas del capítulo 4 y el capítulo 14 de la OACI. Las continuas inversiones en la modernización de la flota garantizan que el rendimiento acústico se mantenga al día con los avances tecnológicos y siga mejorando en los próximos años.</w:t>
      </w:r>
    </w:p>
    <w:p w:rsidR="00790DEE"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Colaboración con las partes interesadas</w:t>
      </w:r>
      <w:r>
        <w:rPr>
          <w:rFonts w:ascii="Century Gothic" w:eastAsia="Century Gothic" w:hAnsi="Century Gothic" w:cs="Century Gothic"/>
          <w:sz w:val="22"/>
          <w:szCs w:val="22"/>
        </w:rPr>
        <w:t xml:space="preserve">: el enfoque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en materia de gestión del ruido va más allá de la excelencia técnica, ya que las asociaciones de colaboración desempeñan un papel fundamental a la hora de aportar conocimientos y compartir las mejores prácticas del sector. La aerolínea participa activamente en mesas redondas y grupos de debate de las autoridades aeroportuarias y cumple rigurosamente con todos los requisitos normativos en materia de documentación y presentación de informes, lo que contribuye a generar una confianza y una transparencia duraderas tanto con los reguladores como con las comunidades.</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metodología del programa se puede consultar aquí: </w:t>
      </w:r>
      <w:hyperlink r:id="rId8">
        <w:r>
          <w:rPr>
            <w:rFonts w:ascii="Century Gothic" w:eastAsia="Century Gothic" w:hAnsi="Century Gothic" w:cs="Century Gothic"/>
            <w:color w:val="1155CC"/>
            <w:sz w:val="22"/>
            <w:szCs w:val="22"/>
            <w:u w:val="single"/>
          </w:rPr>
          <w:t>https://aircraftnoise.panynj.gov/fly-quiet-program/</w:t>
        </w:r>
      </w:hyperlink>
      <w:r>
        <w:rPr>
          <w:rFonts w:ascii="Century Gothic" w:eastAsia="Century Gothic" w:hAnsi="Century Gothic" w:cs="Century Gothic"/>
          <w:sz w:val="22"/>
          <w:szCs w:val="22"/>
        </w:rPr>
        <w:t xml:space="preserve"> </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**Las normas de ruido de la OACI se detallan en el anexo 16 del Convenio sobre Aviación Civil Internacional.</w:t>
      </w:r>
    </w:p>
    <w:p w:rsidR="00790DE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***Un evento de ruido es una operación de una sola aeronave (despegue, aterrizaje o sobrevuelo) medida en los aeropuertos para realizar un seguimiento de la exposición de la comunidad y el cumplimiento de la normativa.</w:t>
      </w:r>
    </w:p>
    <w:p w:rsidR="00307A7A" w:rsidRDefault="00307A7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rsidR="00790DEE" w:rsidRDefault="0000000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lastRenderedPageBreak/>
        <w:t xml:space="preserve">Acerca de </w:t>
      </w:r>
      <w:proofErr w:type="spellStart"/>
      <w:r>
        <w:rPr>
          <w:rFonts w:ascii="Century Gothic" w:eastAsia="Century Gothic" w:hAnsi="Century Gothic" w:cs="Century Gothic"/>
          <w:b/>
          <w:i/>
          <w:color w:val="222222"/>
          <w:sz w:val="20"/>
          <w:szCs w:val="20"/>
        </w:rPr>
        <w:t>Emirates</w:t>
      </w:r>
      <w:proofErr w:type="spellEnd"/>
    </w:p>
    <w:p w:rsidR="00790DEE" w:rsidRDefault="00000000">
      <w:pPr>
        <w:shd w:val="clear" w:color="auto" w:fill="FFFFFF"/>
        <w:jc w:val="both"/>
        <w:rPr>
          <w:rFonts w:ascii="Century Gothic" w:eastAsia="Century Gothic" w:hAnsi="Century Gothic" w:cs="Century Gothic"/>
          <w:b/>
          <w:i/>
          <w:color w:val="222222"/>
          <w:sz w:val="22"/>
          <w:szCs w:val="22"/>
        </w:rPr>
      </w:pP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es la aerolínea internacional más grande del mundo y conecta a viajeros con más de 140 ciudades.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opera la flota más grande del mundo de Boeing 777 y Airbus A380, y ahora opera el Airbus A350, que ofrece cabinas espaciosas y características icónicas a bordo en toda su flota. Con una plantilla culturalmente diversa,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atiende a su base global de clientes ofreciendo servicios excepcionales y productos de primera clase, y se ha ganado el reconocimiento de sus clientes por sus servicios líderes en la industria, tanto en tierra como en el aire.</w:t>
      </w:r>
    </w:p>
    <w:p w:rsidR="00790DEE" w:rsidRDefault="00790DEE">
      <w:pPr>
        <w:shd w:val="clear" w:color="auto" w:fill="FFFFFF"/>
        <w:rPr>
          <w:rFonts w:ascii="Arial" w:eastAsia="Arial" w:hAnsi="Arial" w:cs="Arial"/>
          <w:color w:val="222222"/>
          <w:sz w:val="20"/>
          <w:szCs w:val="20"/>
        </w:rPr>
      </w:pPr>
    </w:p>
    <w:sectPr w:rsidR="00790DEE">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1436" w:rsidRDefault="00F11436">
      <w:r>
        <w:separator/>
      </w:r>
    </w:p>
  </w:endnote>
  <w:endnote w:type="continuationSeparator" w:id="0">
    <w:p w:rsidR="00F11436" w:rsidRDefault="00F11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1436" w:rsidRDefault="00F11436">
      <w:r>
        <w:separator/>
      </w:r>
    </w:p>
  </w:footnote>
  <w:footnote w:type="continuationSeparator" w:id="0">
    <w:p w:rsidR="00F11436" w:rsidRDefault="00F11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0DEE"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rsidR="00790DEE" w:rsidRDefault="00790DEE">
    <w:pPr>
      <w:pBdr>
        <w:top w:val="nil"/>
        <w:left w:val="nil"/>
        <w:bottom w:val="nil"/>
        <w:right w:val="nil"/>
        <w:between w:val="nil"/>
      </w:pBdr>
      <w:tabs>
        <w:tab w:val="right" w:pos="8478"/>
      </w:tabs>
      <w:spacing w:after="200"/>
      <w:rPr>
        <w:rFonts w:ascii="Cambria" w:eastAsia="Cambria" w:hAnsi="Cambria" w:cs="Cambria"/>
        <w:color w:val="000000"/>
      </w:rPr>
    </w:pPr>
  </w:p>
  <w:p w:rsidR="00790DEE" w:rsidRDefault="00790DEE">
    <w:pPr>
      <w:pBdr>
        <w:top w:val="nil"/>
        <w:left w:val="nil"/>
        <w:bottom w:val="nil"/>
        <w:right w:val="nil"/>
        <w:between w:val="nil"/>
      </w:pBdr>
      <w:tabs>
        <w:tab w:val="right" w:pos="8478"/>
      </w:tabs>
      <w:spacing w:after="200"/>
      <w:rPr>
        <w:rFonts w:ascii="Cambria" w:eastAsia="Cambria" w:hAnsi="Cambria" w:cs="Cambria"/>
        <w:color w:val="000000"/>
      </w:rPr>
    </w:pPr>
  </w:p>
  <w:p w:rsidR="00790DEE" w:rsidRDefault="00790DEE">
    <w:pPr>
      <w:pBdr>
        <w:top w:val="nil"/>
        <w:left w:val="nil"/>
        <w:bottom w:val="nil"/>
        <w:right w:val="nil"/>
        <w:between w:val="nil"/>
      </w:pBdr>
      <w:tabs>
        <w:tab w:val="right" w:pos="8478"/>
      </w:tabs>
      <w:spacing w:after="200"/>
      <w:rPr>
        <w:rFonts w:ascii="Cambria" w:eastAsia="Cambria" w:hAnsi="Cambria" w:cs="Cambria"/>
        <w:color w:val="000000"/>
      </w:rPr>
    </w:pPr>
  </w:p>
  <w:p w:rsidR="00790DEE" w:rsidRDefault="00790DEE">
    <w:pPr>
      <w:pBdr>
        <w:top w:val="nil"/>
        <w:left w:val="nil"/>
        <w:bottom w:val="nil"/>
        <w:right w:val="nil"/>
        <w:between w:val="nil"/>
      </w:pBdr>
      <w:tabs>
        <w:tab w:val="right" w:pos="8478"/>
      </w:tabs>
      <w:spacing w:after="200"/>
      <w:rPr>
        <w:rFonts w:ascii="Cambria" w:eastAsia="Cambria" w:hAnsi="Cambria" w:cs="Cambria"/>
        <w:color w:val="000000"/>
      </w:rPr>
    </w:pPr>
  </w:p>
  <w:p w:rsidR="00790DEE" w:rsidRDefault="00790DEE">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090"/>
    <w:multiLevelType w:val="multilevel"/>
    <w:tmpl w:val="6E1EC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2459DF"/>
    <w:multiLevelType w:val="multilevel"/>
    <w:tmpl w:val="F3C69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5558097">
    <w:abstractNumId w:val="1"/>
  </w:num>
  <w:num w:numId="2" w16cid:durableId="127729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EE"/>
    <w:rsid w:val="00307A7A"/>
    <w:rsid w:val="00790DEE"/>
    <w:rsid w:val="00F114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47ED6DE"/>
  <w15:docId w15:val="{DE6E4868-271D-CD4C-BDEB-A08AB38D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ircraftnoise.panynj.gov/fly-quiet-progr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2YsC5MBREo14c0LC1SerfrA4g==">CgMxLjAiiQIKC0FBQUJ0Rk9aSVNrEtUBCgtBQUFCdEZPWklTaxILQUFBQnRGT1pJU2saDQoJdGV4dC9odG1sEgAiDgoKdGV4dC9wbGFpbhIAKhsiFTEwMDU3Mzg2MTczMTIzNDc5NDA2NSgAOAAwiu2DhaEzOJXwg4WhM0o7CiRhcHBsaWNhdGlvbi92bmQuZ29vZ2xlLWFwcHMuZG9jcy5tZHMaE8LX2uQBDRoLCgcKAScQARgAEAFaDHo4cnczanRteXd2enICIAB4AIIBFHN1Z2dlc3QuN2V6cHExdGp1aGExmgEGCAAQABgAGIrtg4WhMyCV8IOFoTNCFHN1Z2dlc3QuN2V6cHExdGp1aGExIokCCgtBQUFCdEZPWklTYxLVAQoLQUFBQnRGT1pJU2MSC0FBQUJ0Rk9aSVNjGg0KCXRleHQvaHRtbBIAIg4KCnRleHQvcGxhaW4SACobIhUxMDA1NzM4NjE3MzEyMzQ3OTQwNjUoADgAMOffg4WhMziV44OFoTNKOwokYXBwbGljYXRpb24vdm5kLmdvb2dsZS1hcHBzLmRvY3MubWRzGhPC19rkAQ0aCwoHCgEnEAEYABABWgxmZHE5MjliODNod3ZyAiAAeACCARRzdWdnZXN0LjR5eXBmeDF0MHY0eJoBBggAEAAYABjn34OFoTMgleODhaEzQhRzdWdnZXN0LjR5eXBmeDF0MHY0eDgAaiYKFHN1Z2dlc3QuNHZneTRtbmU3ZTR3Eg5BbmRyZWEgUmVib2xsb2omChRzdWdnZXN0LmRhNXFwc2E5NWN1NhIOQW5kcmVhIFJlYm9sbG9qJgoUc3VnZ2VzdC5qZ3diOXF6MWQxNWsSDkFuZHJlYSBSZWJvbGxvaiYKFHN1Z2dlc3QuZzczNHhmdWNlcTJ4Eg5BbmRyZWEgUmVib2xsb2omChRzdWdnZXN0LmI1cTRzcTcxd2oxMhIOQW5kcmVhIFJlYm9sbG9qJgoUc3VnZ2VzdC52c2NiOGg1dmNzcWsSDkFuZHJlYSBSZWJvbGxvaiYKFHN1Z2dlc3Quc3g5aDZhN3R5dm8zEg5BbmRyZWEgUmVib2xsb2omChRzdWdnZXN0LjdlenBxMXRqdWhhMRIOQW5kcmVhIFJlYm9sbG9qJgoUc3VnZ2VzdC43aGduNnltbXA2aGgSDkFuZHJlYSBSZWJvbGxvaiYKFHN1Z2dlc3QuM3N6N2wxMnN2Y2xpEg5BbmRyZWEgUmVib2xsb2omChRzdWdnZXN0LjFhMnpwbnVucWxyYxIOQW5kcmVhIFJlYm9sbG9qJgoUc3VnZ2VzdC40eXlwZngxdDB2NHgSDkFuZHJlYSBSZWJvbGxvaiYKFHN1Z2dlc3QuYjZ6bW93M3M1MDdpEg5BbmRyZWEgUmVib2xsb2omChRzdWdnZXN0LmI2M3FpM2ExcGE5eRIOQW5kcmVhIFJlYm9sbG9qJQoTc3VnZ2VzdC52b2lpcGMzaG93cxIOQW5kcmVhIFJlYm9sbG9yITFaMkpLS0QyS0Q1ZVc3cE42X1JFWUtRNlJmN0d6c1pQ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1328</Words>
  <Characters>7034</Characters>
  <Application>Microsoft Office Word</Application>
  <DocSecurity>0</DocSecurity>
  <Lines>119</Lines>
  <Paragraphs>28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2025-10-23T09:03:00Z</dcterms:created>
  <dcterms:modified xsi:type="dcterms:W3CDTF">2025-10-23T11:45:00Z</dcterms:modified>
  <cp:category/>
</cp:coreProperties>
</file>