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tbl>
      <w:tblPr>
        <w:tblStyle w:val="a1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B26B68">
        <w:trPr>
          <w:jc w:val="center"/>
        </w:trPr>
        <w:tc>
          <w:tcPr>
            <w:tcW w:w="5775" w:type="dxa"/>
            <w:vAlign w:val="center"/>
          </w:tcPr>
          <w:p w:rsidR="00B26B68" w:rsidRDefault="00B26B6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ind w:left="1440"/>
        <w:jc w:val="both"/>
        <w:rPr>
          <w:rFonts w:ascii="Century Gothic" w:eastAsia="Century Gothic" w:hAnsi="Century Gothic" w:cs="Century Gothic"/>
          <w:b/>
        </w:rPr>
      </w:pPr>
      <w:proofErr w:type="spellStart"/>
      <w:r>
        <w:rPr>
          <w:rFonts w:ascii="Century Gothic" w:eastAsia="Century Gothic" w:hAnsi="Century Gothic" w:cs="Century Gothic"/>
          <w:b/>
        </w:rPr>
        <w:t>Emirates</w:t>
      </w:r>
      <w:proofErr w:type="spellEnd"/>
      <w:r>
        <w:rPr>
          <w:rFonts w:ascii="Century Gothic" w:eastAsia="Century Gothic" w:hAnsi="Century Gothic" w:cs="Century Gothic"/>
          <w:b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</w:rPr>
        <w:t>SkyCargo</w:t>
      </w:r>
      <w:proofErr w:type="spellEnd"/>
      <w:r>
        <w:rPr>
          <w:rFonts w:ascii="Century Gothic" w:eastAsia="Century Gothic" w:hAnsi="Century Gothic" w:cs="Century Gothic"/>
          <w:b/>
        </w:rPr>
        <w:t xml:space="preserve"> añade Bangkok a su red de carga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ind w:left="720"/>
        <w:jc w:val="center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Esta incorporación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 se produce tras la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notable 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expansión de la aerolínea en la región a lo largo de 2025, tanto en operaciones de pasajeros como de carga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UAE, 30 de octubre de 2025: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Siguiendo con la importante expansión de la red de la aerolínea en el este y el sudeste asiático,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ha introducido un avión de carga semanal al aeropuerto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Suvarnabhumi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 Bangkok (BKK). La nueva ruta de carga, que ya opera la red de rutas más grande y diversificada de cualquier aerolínea no asiática, ofrece a los clientes regionales más flexibilidad para transportar sus mercancías a todo el mundo, vía Dubái.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 división de carga de la mayor aerolínea internacional del mundo presta ahora servicio a 43 destinos globales con su flota de aviones de carga dedicados, 11 de los cuales se encuentran en el este y el sudeste asiático.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Guiado por la visión económica “Tailandia 4.0” del Gobierno, el país ha realizado importantes inversiones en innovación y en el desarrollo de tecnologías más avanzadas, y está emergiendo como líder mundial en automoción de última generación, electrónica inteligente, medicina y biotecnología, robótica y mucho más. Con su cartera de productos especializados, su flota de más de 260 aviones de fuselaje ancho y su red global casi inigualable,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se encuentra en una posición ideal para facilitar el transporte de los delicados productos tecnológicos de Tailandia, así como de otras mercancías, como prendas de vestir y frutas.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Badr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Abbas, vicepresidente sénior de la división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ha afirmado: “Nuestras operaciones en el este y el sudeste asiático se encuentran entre las más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amplias de nuestra red global, tanto en frecuencia de vuelos como en despliegue de aviones de carga, capacidad disponible y puertas de enlace atendidas. Sin embargo, la demanda es exponencial y, por lo tanto, la región será la base de nuestros planes de expansión durante 2026 y más allá”.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“Mercados como Tailandia y Vietnam son el nuevo motor del comercio mundial, con capacidades de fabricación consolidadas y modernas, economías digitales en auge e infraestructuras logísticas de primer orden. No prevemos una ralentización de la demanda y estamos preparados para apoyar el crecimiento de la región con un transporte rápido, fiable y eficiente de mercancías en todo el mundo”, ha añadido.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Impulsada por la elevada demanda constante,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también ha aumentado la frecuencia de los aviones de carga que operan en Hanói a cuatro servicios semanales. Tres de estos aviones de carga conectan directamente con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Dubai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World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Central</w:t>
      </w:r>
      <w:r>
        <w:rPr>
          <w:rFonts w:ascii="Century Gothic" w:eastAsia="Century Gothic" w:hAnsi="Century Gothic" w:cs="Century Gothic"/>
          <w:sz w:val="22"/>
          <w:szCs w:val="22"/>
        </w:rPr>
        <w:t>, mientras que el cuarto conecta Dubái, Taipéi y Hanói, lo que permite a la aerolínea prestar un mejor servicio a los clientes con sede en Vietnam con conexiones directas a Dubái y a través de esta ciudad.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 aerolínea también ha incorporado un sexto avión de carga semanal a Guangzhou, para satisfacer la elevada demanda procedente de China continental, que consiste principalmente en productos tecnológicos de consumo y artículos electrónicos. Para garantizar una capacidad estable durante los periodos de máxima actividad y la demanda estacional,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despliega con frecuencia capacidad de carga </w:t>
      </w:r>
      <w:r>
        <w:rPr>
          <w:rFonts w:ascii="Century Gothic" w:eastAsia="Century Gothic" w:hAnsi="Century Gothic" w:cs="Century Gothic"/>
          <w:i/>
          <w:sz w:val="22"/>
          <w:szCs w:val="22"/>
        </w:rPr>
        <w:t>ad hoc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en toda la región.</w:t>
      </w:r>
    </w:p>
    <w:p w:rsidR="00B26B68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Durante los últimos treinta años de actividad,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SkyCargo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ha desarrollado de forma constante y estratégica sus operaciones en el este y el sudeste asiático, y ahora presta servicio a 25 aeropuertos con 45 servicios de carga, 13 servicios chárter y 315 servicios de pasajeros cada semana, con una capacidad disponible de 21.000 toneladas.</w:t>
      </w:r>
    </w:p>
    <w:p w:rsidR="00B26B68" w:rsidRDefault="00B26B6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B26B68">
      <w:headerReference w:type="default" r:id="rId7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2B3A" w:rsidRDefault="000D2B3A">
      <w:r>
        <w:separator/>
      </w:r>
    </w:p>
  </w:endnote>
  <w:endnote w:type="continuationSeparator" w:id="0">
    <w:p w:rsidR="000D2B3A" w:rsidRDefault="000D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1EBD1AA-79C3-E743-956B-529DE0944B8F}"/>
    <w:embedBold r:id="rId2" w:fontKey="{EE0C28AD-5119-8F46-A58C-AEBC57A060A2}"/>
    <w:embedItalic r:id="rId3" w:fontKey="{491F813A-766D-E54C-B886-28C92AF6DF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ADF779D-C97E-0C40-9118-6BCE623FC87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2F7EDFBC-97B4-E84D-80DF-8042DA20CC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C700E48-FF99-1046-9591-17A87A11A99D}"/>
    <w:embedItalic r:id="rId7" w:fontKey="{99A2BDB7-B28F-1744-98A2-CB5177161C0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2EE8DB34-563C-ED41-809A-382132977098}"/>
    <w:embedBold r:id="rId9" w:fontKey="{030BACDF-D6E8-B047-89F4-555DB96D6495}"/>
    <w:embedItalic r:id="rId10" w:fontKey="{7FD1B668-BF28-8049-A5B0-BC0E15F4DB7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2B3A" w:rsidRDefault="000D2B3A">
      <w:r>
        <w:separator/>
      </w:r>
    </w:p>
  </w:footnote>
  <w:footnote w:type="continuationSeparator" w:id="0">
    <w:p w:rsidR="000D2B3A" w:rsidRDefault="000D2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6B68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26B68" w:rsidRDefault="00B26B6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26B68" w:rsidRDefault="00B26B6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26B68" w:rsidRDefault="00B26B6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26B68" w:rsidRDefault="00B26B6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B26B68" w:rsidRDefault="00B26B6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B68"/>
    <w:rsid w:val="000D2B3A"/>
    <w:rsid w:val="005B2EAB"/>
    <w:rsid w:val="00B2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989EB7"/>
  <w15:docId w15:val="{55FF4BDA-6141-3743-9E18-5BE68597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1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JVp+uJyvD4h5QJqYZOmbZGQJSQ==">CgMxLjA4AHIhMUZSUUxVTlc5ZFdXTjlrVm5adlpMdVFaOHR4SDBaRTBV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Microsoft Office User</cp:lastModifiedBy>
  <cp:revision>2</cp:revision>
  <dcterms:created xsi:type="dcterms:W3CDTF">2025-10-30T09:56:00Z</dcterms:created>
  <dcterms:modified xsi:type="dcterms:W3CDTF">2025-10-30T12:10:00Z</dcterms:modified>
</cp:coreProperties>
</file>