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AA914"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Contacto:</w:t>
      </w:r>
    </w:p>
    <w:p w14:paraId="05050AA2"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EMIRATES </w:t>
      </w:r>
    </w:p>
    <w:p w14:paraId="2D759C54"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proofErr w:type="spellStart"/>
      <w:r>
        <w:rPr>
          <w:rFonts w:ascii="Century Gothic" w:eastAsia="Century Gothic" w:hAnsi="Century Gothic" w:cs="Century Gothic"/>
          <w:color w:val="000000"/>
          <w:sz w:val="18"/>
          <w:szCs w:val="18"/>
        </w:rPr>
        <w:t>Sergat</w:t>
      </w:r>
      <w:proofErr w:type="spellEnd"/>
      <w:r>
        <w:rPr>
          <w:rFonts w:ascii="Century Gothic" w:eastAsia="Century Gothic" w:hAnsi="Century Gothic" w:cs="Century Gothic"/>
          <w:color w:val="000000"/>
          <w:sz w:val="18"/>
          <w:szCs w:val="18"/>
        </w:rPr>
        <w:t xml:space="preserve"> </w:t>
      </w:r>
    </w:p>
    <w:p w14:paraId="13FB1431"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Teléfono: 93 414 02 10</w:t>
      </w:r>
    </w:p>
    <w:p w14:paraId="22424ED4" w14:textId="77777777" w:rsidR="00893803" w:rsidRDefault="00000000">
      <w:pPr>
        <w:pBdr>
          <w:top w:val="nil"/>
          <w:left w:val="nil"/>
          <w:bottom w:val="nil"/>
          <w:right w:val="nil"/>
          <w:between w:val="nil"/>
        </w:pBdr>
        <w:spacing w:line="360" w:lineRule="auto"/>
        <w:jc w:val="both"/>
        <w:rPr>
          <w:rFonts w:ascii="Cambria" w:eastAsia="Cambria" w:hAnsi="Cambria" w:cs="Cambria"/>
          <w:color w:val="000000"/>
        </w:rPr>
      </w:pPr>
      <w:r>
        <w:rPr>
          <w:rFonts w:ascii="Century Gothic" w:eastAsia="Century Gothic" w:hAnsi="Century Gothic" w:cs="Century Gothic"/>
          <w:color w:val="000000"/>
          <w:sz w:val="18"/>
          <w:szCs w:val="18"/>
        </w:rPr>
        <w:t xml:space="preserve">Correo electrónico: </w:t>
      </w:r>
      <w:r>
        <w:rPr>
          <w:rFonts w:ascii="Century Gothic" w:eastAsia="Century Gothic" w:hAnsi="Century Gothic" w:cs="Century Gothic"/>
          <w:color w:val="0000FF"/>
          <w:sz w:val="18"/>
          <w:szCs w:val="18"/>
        </w:rPr>
        <w:t xml:space="preserve">prensa@sergat.com   </w:t>
      </w:r>
    </w:p>
    <w:tbl>
      <w:tblPr>
        <w:tblStyle w:val="a1"/>
        <w:tblW w:w="5775" w:type="dxa"/>
        <w:jc w:val="center"/>
        <w:tblInd w:w="0" w:type="dxa"/>
        <w:tblLayout w:type="fixed"/>
        <w:tblLook w:val="0400" w:firstRow="0" w:lastRow="0" w:firstColumn="0" w:lastColumn="0" w:noHBand="0" w:noVBand="1"/>
      </w:tblPr>
      <w:tblGrid>
        <w:gridCol w:w="5775"/>
      </w:tblGrid>
      <w:tr w:rsidR="00893803" w14:paraId="23BEBB47" w14:textId="77777777">
        <w:trPr>
          <w:jc w:val="center"/>
        </w:trPr>
        <w:tc>
          <w:tcPr>
            <w:tcW w:w="5775" w:type="dxa"/>
            <w:vAlign w:val="center"/>
          </w:tcPr>
          <w:p w14:paraId="64D6E93D" w14:textId="77777777" w:rsidR="00893803" w:rsidRDefault="00893803">
            <w:pPr>
              <w:jc w:val="center"/>
              <w:rPr>
                <w:sz w:val="20"/>
                <w:szCs w:val="20"/>
              </w:rPr>
            </w:pPr>
          </w:p>
        </w:tc>
      </w:tr>
    </w:tbl>
    <w:p w14:paraId="67235EC5" w14:textId="77777777" w:rsidR="00893803" w:rsidRDefault="00000000">
      <w:pPr>
        <w:pBdr>
          <w:top w:val="nil"/>
          <w:left w:val="nil"/>
          <w:bottom w:val="nil"/>
          <w:right w:val="nil"/>
          <w:between w:val="nil"/>
        </w:pBdr>
        <w:spacing w:line="360" w:lineRule="auto"/>
        <w:jc w:val="center"/>
        <w:rPr>
          <w:rFonts w:ascii="Century Gothic" w:eastAsia="Century Gothic" w:hAnsi="Century Gothic" w:cs="Century Gothic"/>
          <w:b/>
          <w:bCs/>
        </w:rPr>
      </w:pPr>
      <w:proofErr w:type="spellStart"/>
      <w:r>
        <w:rPr>
          <w:rFonts w:ascii="Century Gothic" w:eastAsia="Century Gothic" w:hAnsi="Century Gothic" w:cs="Century Gothic"/>
          <w:b/>
          <w:bCs/>
        </w:rPr>
        <w:t>Emirates</w:t>
      </w:r>
      <w:proofErr w:type="spellEnd"/>
      <w:r>
        <w:rPr>
          <w:rFonts w:ascii="Century Gothic" w:eastAsia="Century Gothic" w:hAnsi="Century Gothic" w:cs="Century Gothic"/>
          <w:b/>
          <w:bCs/>
        </w:rPr>
        <w:t xml:space="preserve"> registra más de 2,3 millones de salidas y 2,5 millones de llegadas en diciembre</w:t>
      </w:r>
    </w:p>
    <w:p w14:paraId="52F78C73" w14:textId="77777777" w:rsidR="00893803" w:rsidRDefault="00893803">
      <w:pPr>
        <w:pBdr>
          <w:top w:val="nil"/>
          <w:left w:val="nil"/>
          <w:bottom w:val="nil"/>
          <w:right w:val="nil"/>
          <w:between w:val="nil"/>
        </w:pBdr>
        <w:spacing w:line="360" w:lineRule="auto"/>
        <w:jc w:val="center"/>
        <w:rPr>
          <w:rFonts w:ascii="Century Gothic" w:eastAsia="Century Gothic" w:hAnsi="Century Gothic" w:cs="Century Gothic"/>
          <w:b/>
          <w:bCs/>
        </w:rPr>
      </w:pPr>
    </w:p>
    <w:p w14:paraId="7DD3EC4B"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Dubái, EAU, 14 de noviembre de 2025: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 anunciado un aumento significativo de los desplazamientos durante todo el mes de diciembre. Con la temporada alta turística en pleno apogeo, una gran cantidad de eventos locales y los recientes cambios en el calendario de la KHDA, que garantizan el cierre de las escuelas durante la mayor parte de diciembre,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prevé más de 2,3 millones de salidas durante los próximos fines de semana y más de 2,5 millones de llegadas.</w:t>
      </w:r>
    </w:p>
    <w:p w14:paraId="461CF541"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5FF989C4"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sz w:val="22"/>
          <w:szCs w:val="22"/>
        </w:rPr>
      </w:pP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recomienda a sus clientes que planifiquen cuidadosamente sus viajes este mes de diciembre, preparándose para la probabilidad de que haya más tráfico de camino al aeropuerto, aparcamientos más concurridos y un aeropuerto más bullicioso debido a las fiestas navideñas. La aerolínea aconseja a sus clientes que aprovechen una serie de opciones para facilitar una experiencia de viaje más rápida y fluida: </w:t>
      </w:r>
    </w:p>
    <w:p w14:paraId="0327052A"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46566E20" w14:textId="4A4601F1" w:rsidR="00893803" w:rsidRPr="00C1467C" w:rsidRDefault="00000000" w:rsidP="00C1467C">
      <w:pPr>
        <w:numPr>
          <w:ilvl w:val="0"/>
          <w:numId w:val="3"/>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Conocer bien los tiempos:</w:t>
      </w:r>
      <w:r>
        <w:rPr>
          <w:rFonts w:ascii="Century Gothic" w:eastAsia="Century Gothic" w:hAnsi="Century Gothic" w:cs="Century Gothic"/>
          <w:sz w:val="22"/>
          <w:szCs w:val="22"/>
        </w:rPr>
        <w:t xml:space="preserve"> asegurarse de que toda la familia o el grupo conozca los horarios de viaje recomendados por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para evitar posibles malentendidos. Durante el mes de diciembre, se debe llegar al aeropuerto 3 horas antes de la salida. Hay que asegurarse de pasar por inmigración 1,5 horas antes de la salida y llegar a la puerta de embarque correcta 1 hora antes del despegue. De esta manera, el viajero podrá comenzar el viaje tranquilamente, con tiempo para disfrutar de la variedad de atracciones de la zona de embarque del Aeropuerto Internacional de Dubái (DXB), desde las salas VIP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hasta restaurantes y cafeterías, tiendas de primera categoría y zonas de descanso.</w:t>
      </w:r>
    </w:p>
    <w:p w14:paraId="7CCBA411" w14:textId="77777777" w:rsidR="00893803" w:rsidRDefault="00000000">
      <w:pPr>
        <w:numPr>
          <w:ilvl w:val="0"/>
          <w:numId w:val="3"/>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lastRenderedPageBreak/>
        <w:t xml:space="preserve">Descargar la aplicación de </w:t>
      </w:r>
      <w:proofErr w:type="spellStart"/>
      <w:r>
        <w:rPr>
          <w:rFonts w:ascii="Century Gothic" w:eastAsia="Century Gothic" w:hAnsi="Century Gothic" w:cs="Century Gothic"/>
          <w:b/>
          <w:bCs/>
          <w:sz w:val="22"/>
          <w:szCs w:val="22"/>
        </w:rPr>
        <w:t>Emirates</w:t>
      </w:r>
      <w:proofErr w:type="spellEnd"/>
      <w:r>
        <w:rPr>
          <w:rFonts w:ascii="Century Gothic" w:eastAsia="Century Gothic" w:hAnsi="Century Gothic" w:cs="Century Gothic"/>
          <w:b/>
          <w:bCs/>
          <w:sz w:val="22"/>
          <w:szCs w:val="22"/>
        </w:rPr>
        <w:t xml:space="preserve">: </w:t>
      </w:r>
      <w:r>
        <w:rPr>
          <w:rFonts w:ascii="Century Gothic" w:eastAsia="Century Gothic" w:hAnsi="Century Gothic" w:cs="Century Gothic"/>
          <w:sz w:val="22"/>
          <w:szCs w:val="22"/>
        </w:rPr>
        <w:t xml:space="preserve">mediante la aplicación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es posible facturar </w:t>
      </w:r>
      <w:r>
        <w:rPr>
          <w:rFonts w:ascii="Century Gothic" w:eastAsia="Century Gothic" w:hAnsi="Century Gothic" w:cs="Century Gothic"/>
          <w:i/>
          <w:iCs/>
          <w:sz w:val="22"/>
          <w:szCs w:val="22"/>
        </w:rPr>
        <w:t>online</w:t>
      </w:r>
      <w:r>
        <w:rPr>
          <w:rFonts w:ascii="Century Gothic" w:eastAsia="Century Gothic" w:hAnsi="Century Gothic" w:cs="Century Gothic"/>
          <w:sz w:val="22"/>
          <w:szCs w:val="22"/>
        </w:rPr>
        <w:t xml:space="preserve"> con 48 horas de antelación para tener a mano todos los detalles del vuelo. Entre otras ventajas, permite recibir notificaciones sobre el vuelo; comprobar qué menús se servirán a bordo; preseleccionar la comida en clase </w:t>
      </w:r>
      <w:r>
        <w:rPr>
          <w:rFonts w:ascii="Century Gothic" w:eastAsia="Century Gothic" w:hAnsi="Century Gothic" w:cs="Century Gothic"/>
          <w:i/>
          <w:iCs/>
          <w:sz w:val="22"/>
          <w:szCs w:val="22"/>
        </w:rPr>
        <w:t>Business</w:t>
      </w:r>
      <w:r>
        <w:rPr>
          <w:rFonts w:ascii="Century Gothic" w:eastAsia="Century Gothic" w:hAnsi="Century Gothic" w:cs="Century Gothic"/>
          <w:sz w:val="22"/>
          <w:szCs w:val="22"/>
        </w:rPr>
        <w:t xml:space="preserve">; reservar un servicio de chófer e incluso planificar qué ver a través del sistema de entretenimiento a bordo, </w:t>
      </w:r>
      <w:r>
        <w:rPr>
          <w:rFonts w:ascii="Century Gothic" w:eastAsia="Century Gothic" w:hAnsi="Century Gothic" w:cs="Century Gothic"/>
          <w:i/>
          <w:iCs/>
          <w:sz w:val="22"/>
          <w:szCs w:val="22"/>
        </w:rPr>
        <w:t>ice</w:t>
      </w:r>
      <w:r>
        <w:rPr>
          <w:rFonts w:ascii="Century Gothic" w:eastAsia="Century Gothic" w:hAnsi="Century Gothic" w:cs="Century Gothic"/>
          <w:sz w:val="22"/>
          <w:szCs w:val="22"/>
        </w:rPr>
        <w:t xml:space="preserve">. Los clientes ahora también pueden utilizar su aplicación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para registrarse y utilizar la vía biométrica en el Aeropuerto Internacional de Dubái (DXB). El registro solo lleva unos minutos y permite a los clientes moverse rápidamente por el aeropuerto utilizando las puertas inteligentes, el embarque biométrico en las puertas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y la entrada biométrica a las salas VIP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w:t>
      </w:r>
    </w:p>
    <w:p w14:paraId="2B622B05"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7019289E" w14:textId="77777777" w:rsidR="00893803" w:rsidRDefault="00000000">
      <w:pPr>
        <w:numPr>
          <w:ilvl w:val="0"/>
          <w:numId w:val="3"/>
        </w:numPr>
        <w:pBdr>
          <w:top w:val="nil"/>
          <w:left w:val="nil"/>
          <w:bottom w:val="nil"/>
          <w:right w:val="nil"/>
          <w:between w:val="nil"/>
        </w:pBdr>
        <w:spacing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Facturar el equipaje en </w:t>
      </w:r>
      <w:proofErr w:type="spellStart"/>
      <w:r>
        <w:rPr>
          <w:rFonts w:ascii="Century Gothic" w:eastAsia="Century Gothic" w:hAnsi="Century Gothic" w:cs="Century Gothic"/>
          <w:b/>
          <w:bCs/>
          <w:i/>
          <w:iCs/>
          <w:sz w:val="22"/>
          <w:szCs w:val="22"/>
        </w:rPr>
        <w:t>Emirates</w:t>
      </w:r>
      <w:proofErr w:type="spellEnd"/>
      <w:r>
        <w:rPr>
          <w:rFonts w:ascii="Century Gothic" w:eastAsia="Century Gothic" w:hAnsi="Century Gothic" w:cs="Century Gothic"/>
          <w:b/>
          <w:bCs/>
          <w:i/>
          <w:iCs/>
          <w:sz w:val="22"/>
          <w:szCs w:val="22"/>
        </w:rPr>
        <w:t xml:space="preserve"> City </w:t>
      </w:r>
      <w:proofErr w:type="spellStart"/>
      <w:r>
        <w:rPr>
          <w:rFonts w:ascii="Century Gothic" w:eastAsia="Century Gothic" w:hAnsi="Century Gothic" w:cs="Century Gothic"/>
          <w:b/>
          <w:bCs/>
          <w:i/>
          <w:iCs/>
          <w:sz w:val="22"/>
          <w:szCs w:val="22"/>
        </w:rPr>
        <w:t>Check</w:t>
      </w:r>
      <w:proofErr w:type="spellEnd"/>
      <w:r>
        <w:rPr>
          <w:rFonts w:ascii="Century Gothic" w:eastAsia="Century Gothic" w:hAnsi="Century Gothic" w:cs="Century Gothic"/>
          <w:b/>
          <w:bCs/>
          <w:i/>
          <w:iCs/>
          <w:sz w:val="22"/>
          <w:szCs w:val="22"/>
        </w:rPr>
        <w:t xml:space="preserve">-in &amp; </w:t>
      </w:r>
      <w:proofErr w:type="spellStart"/>
      <w:r>
        <w:rPr>
          <w:rFonts w:ascii="Century Gothic" w:eastAsia="Century Gothic" w:hAnsi="Century Gothic" w:cs="Century Gothic"/>
          <w:b/>
          <w:bCs/>
          <w:i/>
          <w:iCs/>
          <w:sz w:val="22"/>
          <w:szCs w:val="22"/>
        </w:rPr>
        <w:t>Travel</w:t>
      </w:r>
      <w:proofErr w:type="spellEnd"/>
      <w:r>
        <w:rPr>
          <w:rFonts w:ascii="Century Gothic" w:eastAsia="Century Gothic" w:hAnsi="Century Gothic" w:cs="Century Gothic"/>
          <w:b/>
          <w:bCs/>
          <w:i/>
          <w:iCs/>
          <w:sz w:val="22"/>
          <w:szCs w:val="22"/>
        </w:rPr>
        <w:t xml:space="preserve"> Store</w:t>
      </w:r>
      <w:r>
        <w:rPr>
          <w:rFonts w:ascii="Century Gothic" w:eastAsia="Century Gothic" w:hAnsi="Century Gothic" w:cs="Century Gothic"/>
          <w:sz w:val="22"/>
          <w:szCs w:val="22"/>
        </w:rPr>
        <w:t xml:space="preserve"> </w:t>
      </w:r>
      <w:r>
        <w:rPr>
          <w:rFonts w:ascii="Century Gothic" w:eastAsia="Century Gothic" w:hAnsi="Century Gothic" w:cs="Century Gothic"/>
          <w:b/>
          <w:bCs/>
          <w:sz w:val="22"/>
          <w:szCs w:val="22"/>
        </w:rPr>
        <w:t>(DIFC)</w:t>
      </w:r>
      <w:r>
        <w:rPr>
          <w:rFonts w:ascii="Century Gothic" w:eastAsia="Century Gothic" w:hAnsi="Century Gothic" w:cs="Century Gothic"/>
          <w:sz w:val="22"/>
          <w:szCs w:val="22"/>
        </w:rPr>
        <w:t xml:space="preserve"> </w:t>
      </w:r>
      <w:r>
        <w:rPr>
          <w:rFonts w:ascii="Century Gothic" w:eastAsia="Century Gothic" w:hAnsi="Century Gothic" w:cs="Century Gothic"/>
          <w:b/>
          <w:bCs/>
          <w:sz w:val="22"/>
          <w:szCs w:val="22"/>
        </w:rPr>
        <w:t xml:space="preserve">y obtener millas </w:t>
      </w:r>
      <w:proofErr w:type="spellStart"/>
      <w:r>
        <w:rPr>
          <w:rFonts w:ascii="Century Gothic" w:eastAsia="Century Gothic" w:hAnsi="Century Gothic" w:cs="Century Gothic"/>
          <w:b/>
          <w:bCs/>
          <w:i/>
          <w:iCs/>
          <w:sz w:val="22"/>
          <w:szCs w:val="22"/>
        </w:rPr>
        <w:t>Skywards</w:t>
      </w:r>
      <w:proofErr w:type="spellEnd"/>
      <w:r>
        <w:rPr>
          <w:rFonts w:ascii="Century Gothic" w:eastAsia="Century Gothic" w:hAnsi="Century Gothic" w:cs="Century Gothic"/>
          <w:b/>
          <w:bCs/>
          <w:sz w:val="22"/>
          <w:szCs w:val="22"/>
        </w:rPr>
        <w:t xml:space="preserve"> gratuitas: </w:t>
      </w:r>
      <w:r>
        <w:rPr>
          <w:rFonts w:ascii="Century Gothic" w:eastAsia="Century Gothic" w:hAnsi="Century Gothic" w:cs="Century Gothic"/>
          <w:sz w:val="22"/>
          <w:szCs w:val="22"/>
        </w:rPr>
        <w:t xml:space="preserve">convenientemente ubicado en el corazón del distrito financiero, los clientes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pueden obtener millas </w:t>
      </w:r>
      <w:proofErr w:type="spellStart"/>
      <w:r>
        <w:rPr>
          <w:rFonts w:ascii="Century Gothic" w:eastAsia="Century Gothic" w:hAnsi="Century Gothic" w:cs="Century Gothic"/>
          <w:i/>
          <w:iCs/>
          <w:sz w:val="22"/>
          <w:szCs w:val="22"/>
        </w:rPr>
        <w:t>Skywards</w:t>
      </w:r>
      <w:proofErr w:type="spellEnd"/>
      <w:r>
        <w:rPr>
          <w:rFonts w:ascii="Century Gothic" w:eastAsia="Century Gothic" w:hAnsi="Century Gothic" w:cs="Century Gothic"/>
          <w:sz w:val="22"/>
          <w:szCs w:val="22"/>
        </w:rPr>
        <w:t xml:space="preserve"> gratuitas y ahorrar tiempo en el aeropuerto al facturar su equipaje en </w:t>
      </w:r>
      <w:proofErr w:type="spellStart"/>
      <w:r>
        <w:rPr>
          <w:rFonts w:ascii="Century Gothic" w:eastAsia="Century Gothic" w:hAnsi="Century Gothic" w:cs="Century Gothic"/>
          <w:i/>
          <w:iCs/>
          <w:sz w:val="22"/>
          <w:szCs w:val="22"/>
        </w:rPr>
        <w:t>Emirates</w:t>
      </w:r>
      <w:proofErr w:type="spellEnd"/>
      <w:r>
        <w:rPr>
          <w:rFonts w:ascii="Century Gothic" w:eastAsia="Century Gothic" w:hAnsi="Century Gothic" w:cs="Century Gothic"/>
          <w:i/>
          <w:iCs/>
          <w:sz w:val="22"/>
          <w:szCs w:val="22"/>
        </w:rPr>
        <w:t xml:space="preserve"> City </w:t>
      </w:r>
      <w:proofErr w:type="spellStart"/>
      <w:r>
        <w:rPr>
          <w:rFonts w:ascii="Century Gothic" w:eastAsia="Century Gothic" w:hAnsi="Century Gothic" w:cs="Century Gothic"/>
          <w:i/>
          <w:iCs/>
          <w:sz w:val="22"/>
          <w:szCs w:val="22"/>
        </w:rPr>
        <w:t>Check</w:t>
      </w:r>
      <w:proofErr w:type="spellEnd"/>
      <w:r>
        <w:rPr>
          <w:rFonts w:ascii="Century Gothic" w:eastAsia="Century Gothic" w:hAnsi="Century Gothic" w:cs="Century Gothic"/>
          <w:i/>
          <w:iCs/>
          <w:sz w:val="22"/>
          <w:szCs w:val="22"/>
        </w:rPr>
        <w:t xml:space="preserve"> In &amp; </w:t>
      </w:r>
      <w:proofErr w:type="spellStart"/>
      <w:r>
        <w:rPr>
          <w:rFonts w:ascii="Century Gothic" w:eastAsia="Century Gothic" w:hAnsi="Century Gothic" w:cs="Century Gothic"/>
          <w:i/>
          <w:iCs/>
          <w:sz w:val="22"/>
          <w:szCs w:val="22"/>
        </w:rPr>
        <w:t>Travel</w:t>
      </w:r>
      <w:proofErr w:type="spellEnd"/>
      <w:r>
        <w:rPr>
          <w:rFonts w:ascii="Century Gothic" w:eastAsia="Century Gothic" w:hAnsi="Century Gothic" w:cs="Century Gothic"/>
          <w:i/>
          <w:iCs/>
          <w:sz w:val="22"/>
          <w:szCs w:val="22"/>
        </w:rPr>
        <w:t xml:space="preserve"> Store</w:t>
      </w:r>
      <w:r>
        <w:rPr>
          <w:rFonts w:ascii="Century Gothic" w:eastAsia="Century Gothic" w:hAnsi="Century Gothic" w:cs="Century Gothic"/>
          <w:sz w:val="22"/>
          <w:szCs w:val="22"/>
        </w:rPr>
        <w:t xml:space="preserve"> (DIFC). También pueden disfrutar de aparcamiento gratuito para dejar su equipaje facturado entre 24 y 4 horas antes del vuelo. Los clientes que facturen y dejen su equipaje aquí entre el 15 de diciembre y el 15 de enero recibirán 2500 millas </w:t>
      </w:r>
      <w:proofErr w:type="spellStart"/>
      <w:r>
        <w:rPr>
          <w:rFonts w:ascii="Century Gothic" w:eastAsia="Century Gothic" w:hAnsi="Century Gothic" w:cs="Century Gothic"/>
          <w:i/>
          <w:iCs/>
          <w:sz w:val="22"/>
          <w:szCs w:val="22"/>
        </w:rPr>
        <w:t>Skywards</w:t>
      </w:r>
      <w:proofErr w:type="spellEnd"/>
      <w:r>
        <w:rPr>
          <w:rFonts w:ascii="Century Gothic" w:eastAsia="Century Gothic" w:hAnsi="Century Gothic" w:cs="Century Gothic"/>
          <w:sz w:val="22"/>
          <w:szCs w:val="22"/>
        </w:rPr>
        <w:t xml:space="preserve">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cada uno, incluidos los niños, lo que significa que una familia de 4 miembros podría obtener 10.000 millas solo por facturar en este moderno establecimiento. </w:t>
      </w:r>
      <w:proofErr w:type="spellStart"/>
      <w:r>
        <w:rPr>
          <w:rFonts w:ascii="Century Gothic" w:eastAsia="Century Gothic" w:hAnsi="Century Gothic" w:cs="Century Gothic"/>
          <w:i/>
          <w:iCs/>
          <w:sz w:val="22"/>
          <w:szCs w:val="22"/>
        </w:rPr>
        <w:t>Emirates</w:t>
      </w:r>
      <w:proofErr w:type="spellEnd"/>
      <w:r>
        <w:rPr>
          <w:rFonts w:ascii="Century Gothic" w:eastAsia="Century Gothic" w:hAnsi="Century Gothic" w:cs="Century Gothic"/>
          <w:i/>
          <w:iCs/>
          <w:sz w:val="22"/>
          <w:szCs w:val="22"/>
        </w:rPr>
        <w:t xml:space="preserve"> City </w:t>
      </w:r>
      <w:proofErr w:type="spellStart"/>
      <w:r>
        <w:rPr>
          <w:rFonts w:ascii="Century Gothic" w:eastAsia="Century Gothic" w:hAnsi="Century Gothic" w:cs="Century Gothic"/>
          <w:i/>
          <w:iCs/>
          <w:sz w:val="22"/>
          <w:szCs w:val="22"/>
        </w:rPr>
        <w:t>Check</w:t>
      </w:r>
      <w:proofErr w:type="spellEnd"/>
      <w:r>
        <w:rPr>
          <w:rFonts w:ascii="Century Gothic" w:eastAsia="Century Gothic" w:hAnsi="Century Gothic" w:cs="Century Gothic"/>
          <w:i/>
          <w:iCs/>
          <w:sz w:val="22"/>
          <w:szCs w:val="22"/>
        </w:rPr>
        <w:t xml:space="preserve">-in and </w:t>
      </w:r>
      <w:proofErr w:type="spellStart"/>
      <w:r>
        <w:rPr>
          <w:rFonts w:ascii="Century Gothic" w:eastAsia="Century Gothic" w:hAnsi="Century Gothic" w:cs="Century Gothic"/>
          <w:i/>
          <w:iCs/>
          <w:sz w:val="22"/>
          <w:szCs w:val="22"/>
        </w:rPr>
        <w:t>Travel</w:t>
      </w:r>
      <w:proofErr w:type="spellEnd"/>
      <w:r>
        <w:rPr>
          <w:rFonts w:ascii="Century Gothic" w:eastAsia="Century Gothic" w:hAnsi="Century Gothic" w:cs="Century Gothic"/>
          <w:i/>
          <w:iCs/>
          <w:sz w:val="22"/>
          <w:szCs w:val="22"/>
        </w:rPr>
        <w:t xml:space="preserve"> Stor</w:t>
      </w:r>
      <w:r>
        <w:rPr>
          <w:rFonts w:ascii="Century Gothic" w:eastAsia="Century Gothic" w:hAnsi="Century Gothic" w:cs="Century Gothic"/>
          <w:sz w:val="22"/>
          <w:szCs w:val="22"/>
        </w:rPr>
        <w:t>e está abierto todos los días de 8:00h a 22:00h y, del 15 de diciembre al 15 de enero, el horario de apertura del local se ha ampliado hasta la medianoche.</w:t>
      </w:r>
    </w:p>
    <w:p w14:paraId="10383262"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56F18C2D"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clientes también pueden facturar a distancia en el </w:t>
      </w:r>
      <w:proofErr w:type="spellStart"/>
      <w:r>
        <w:rPr>
          <w:rFonts w:ascii="Century Gothic" w:eastAsia="Century Gothic" w:hAnsi="Century Gothic" w:cs="Century Gothic"/>
          <w:i/>
          <w:iCs/>
          <w:sz w:val="22"/>
          <w:szCs w:val="22"/>
        </w:rPr>
        <w:t>Emirates</w:t>
      </w:r>
      <w:proofErr w:type="spellEnd"/>
      <w:r>
        <w:rPr>
          <w:rFonts w:ascii="Century Gothic" w:eastAsia="Century Gothic" w:hAnsi="Century Gothic" w:cs="Century Gothic"/>
          <w:i/>
          <w:iCs/>
          <w:sz w:val="22"/>
          <w:szCs w:val="22"/>
        </w:rPr>
        <w:t xml:space="preserve"> City </w:t>
      </w:r>
      <w:proofErr w:type="spellStart"/>
      <w:r>
        <w:rPr>
          <w:rFonts w:ascii="Century Gothic" w:eastAsia="Century Gothic" w:hAnsi="Century Gothic" w:cs="Century Gothic"/>
          <w:i/>
          <w:iCs/>
          <w:sz w:val="22"/>
          <w:szCs w:val="22"/>
        </w:rPr>
        <w:t>Check</w:t>
      </w:r>
      <w:proofErr w:type="spellEnd"/>
      <w:r>
        <w:rPr>
          <w:rFonts w:ascii="Century Gothic" w:eastAsia="Century Gothic" w:hAnsi="Century Gothic" w:cs="Century Gothic"/>
          <w:i/>
          <w:iCs/>
          <w:sz w:val="22"/>
          <w:szCs w:val="22"/>
        </w:rPr>
        <w:t xml:space="preserve">-in </w:t>
      </w:r>
      <w:proofErr w:type="spellStart"/>
      <w:r>
        <w:rPr>
          <w:rFonts w:ascii="Century Gothic" w:eastAsia="Century Gothic" w:hAnsi="Century Gothic" w:cs="Century Gothic"/>
          <w:i/>
          <w:iCs/>
          <w:sz w:val="22"/>
          <w:szCs w:val="22"/>
        </w:rPr>
        <w:t>Ajman</w:t>
      </w:r>
      <w:proofErr w:type="spellEnd"/>
      <w:r>
        <w:rPr>
          <w:rFonts w:ascii="Century Gothic" w:eastAsia="Century Gothic" w:hAnsi="Century Gothic" w:cs="Century Gothic"/>
          <w:sz w:val="22"/>
          <w:szCs w:val="22"/>
        </w:rPr>
        <w:t xml:space="preserve">, abierto las 24 horas, situado en la terminal central de autobuses de </w:t>
      </w:r>
      <w:proofErr w:type="spellStart"/>
      <w:r>
        <w:rPr>
          <w:rFonts w:ascii="Century Gothic" w:eastAsia="Century Gothic" w:hAnsi="Century Gothic" w:cs="Century Gothic"/>
          <w:sz w:val="22"/>
          <w:szCs w:val="22"/>
        </w:rPr>
        <w:t>Ajman</w:t>
      </w:r>
      <w:proofErr w:type="spellEnd"/>
      <w:r>
        <w:rPr>
          <w:rFonts w:ascii="Century Gothic" w:eastAsia="Century Gothic" w:hAnsi="Century Gothic" w:cs="Century Gothic"/>
          <w:sz w:val="22"/>
          <w:szCs w:val="22"/>
        </w:rPr>
        <w:t>, desde 24 horas hasta 4 horas antes de la salida del vuelo.</w:t>
      </w:r>
    </w:p>
    <w:p w14:paraId="0B9B8B7E"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69431EE3" w14:textId="77777777" w:rsidR="00893803" w:rsidRDefault="00000000">
      <w:pPr>
        <w:numPr>
          <w:ilvl w:val="0"/>
          <w:numId w:val="1"/>
        </w:numPr>
        <w:pBdr>
          <w:top w:val="nil"/>
          <w:left w:val="nil"/>
          <w:bottom w:val="nil"/>
          <w:right w:val="nil"/>
          <w:between w:val="nil"/>
        </w:pBdr>
        <w:spacing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t xml:space="preserve">Dejar el equipaje en el aeropuerto el día anterior o disfrutar de un </w:t>
      </w:r>
      <w:proofErr w:type="spellStart"/>
      <w:r>
        <w:rPr>
          <w:rFonts w:ascii="Century Gothic" w:eastAsia="Century Gothic" w:hAnsi="Century Gothic" w:cs="Century Gothic"/>
          <w:b/>
          <w:bCs/>
          <w:i/>
          <w:iCs/>
          <w:sz w:val="22"/>
          <w:szCs w:val="22"/>
        </w:rPr>
        <w:t>check</w:t>
      </w:r>
      <w:proofErr w:type="spellEnd"/>
      <w:r>
        <w:rPr>
          <w:rFonts w:ascii="Century Gothic" w:eastAsia="Century Gothic" w:hAnsi="Century Gothic" w:cs="Century Gothic"/>
          <w:b/>
          <w:bCs/>
          <w:i/>
          <w:iCs/>
          <w:sz w:val="22"/>
          <w:szCs w:val="22"/>
        </w:rPr>
        <w:t xml:space="preserve">-in </w:t>
      </w:r>
      <w:r>
        <w:rPr>
          <w:rFonts w:ascii="Century Gothic" w:eastAsia="Century Gothic" w:hAnsi="Century Gothic" w:cs="Century Gothic"/>
          <w:b/>
          <w:bCs/>
          <w:sz w:val="22"/>
          <w:szCs w:val="22"/>
        </w:rPr>
        <w:t xml:space="preserve">desde casa sin estrés: </w:t>
      </w:r>
      <w:r>
        <w:rPr>
          <w:rFonts w:ascii="Century Gothic" w:eastAsia="Century Gothic" w:hAnsi="Century Gothic" w:cs="Century Gothic"/>
          <w:sz w:val="22"/>
          <w:szCs w:val="22"/>
        </w:rPr>
        <w:t xml:space="preserve">los clientes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pueden ganar espacio en su coche y </w:t>
      </w:r>
      <w:r>
        <w:rPr>
          <w:rFonts w:ascii="Century Gothic" w:eastAsia="Century Gothic" w:hAnsi="Century Gothic" w:cs="Century Gothic"/>
          <w:sz w:val="22"/>
          <w:szCs w:val="22"/>
        </w:rPr>
        <w:lastRenderedPageBreak/>
        <w:t>minimizar las tareas en el aeropuerto dejando el equipaje en el aeropuerto la noche antes del viaje, sin coste alguno. Los pasajeros que salen de Dubái pueden facturar con antelación y dejar sus maletas 24 horas antes de la salida, o 12 horas antes de la salida si vuelan a EE. UU. Luego, cuando se acerque la hora de salida, los clientes pueden dirigirse directamente a la zona de inmigración del aeropuerto.</w:t>
      </w:r>
    </w:p>
    <w:p w14:paraId="4F04DA8F"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08416F9A"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Los clientes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también pueden optar por facturar desde la comodidad de su hogar en Dubái y </w:t>
      </w:r>
      <w:proofErr w:type="spellStart"/>
      <w:r>
        <w:rPr>
          <w:rFonts w:ascii="Century Gothic" w:eastAsia="Century Gothic" w:hAnsi="Century Gothic" w:cs="Century Gothic"/>
          <w:sz w:val="22"/>
          <w:szCs w:val="22"/>
        </w:rPr>
        <w:t>Sharjah</w:t>
      </w:r>
      <w:proofErr w:type="spellEnd"/>
      <w:r>
        <w:rPr>
          <w:rFonts w:ascii="Century Gothic" w:eastAsia="Century Gothic" w:hAnsi="Century Gothic" w:cs="Century Gothic"/>
          <w:sz w:val="22"/>
          <w:szCs w:val="22"/>
        </w:rPr>
        <w:t xml:space="preserve">. Los agentes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completan el rápido proceso de facturación en el domicilio, hotel u oficina del cliente y llevan su equipaje al vuelo, de modo que los clientes pueden llegar más tarde con solo su equipaje de mano. El servicio debe reservarse al menos 24 horas antes del vuelo, aunque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recomienda reservarlo con antelación para evitar contratiempos. El servicio de facturación en el domicilio es gratuito para los clientes de </w:t>
      </w:r>
      <w:proofErr w:type="spellStart"/>
      <w:r>
        <w:rPr>
          <w:rFonts w:ascii="Century Gothic" w:eastAsia="Century Gothic" w:hAnsi="Century Gothic" w:cs="Century Gothic"/>
          <w:i/>
          <w:iCs/>
          <w:sz w:val="22"/>
          <w:szCs w:val="22"/>
        </w:rPr>
        <w:t>First</w:t>
      </w:r>
      <w:proofErr w:type="spellEnd"/>
      <w:r>
        <w:rPr>
          <w:rFonts w:ascii="Century Gothic" w:eastAsia="Century Gothic" w:hAnsi="Century Gothic" w:cs="Century Gothic"/>
          <w:i/>
          <w:iCs/>
          <w:sz w:val="22"/>
          <w:szCs w:val="22"/>
        </w:rPr>
        <w:t xml:space="preserve"> </w:t>
      </w:r>
      <w:proofErr w:type="spellStart"/>
      <w:r>
        <w:rPr>
          <w:rFonts w:ascii="Century Gothic" w:eastAsia="Century Gothic" w:hAnsi="Century Gothic" w:cs="Century Gothic"/>
          <w:i/>
          <w:iCs/>
          <w:sz w:val="22"/>
          <w:szCs w:val="22"/>
        </w:rPr>
        <w:t>Class</w:t>
      </w:r>
      <w:proofErr w:type="spellEnd"/>
      <w:r>
        <w:rPr>
          <w:rFonts w:ascii="Century Gothic" w:eastAsia="Century Gothic" w:hAnsi="Century Gothic" w:cs="Century Gothic"/>
          <w:sz w:val="22"/>
          <w:szCs w:val="22"/>
        </w:rPr>
        <w:t xml:space="preserve"> y los miembros </w:t>
      </w:r>
      <w:proofErr w:type="spellStart"/>
      <w:r>
        <w:rPr>
          <w:rFonts w:ascii="Century Gothic" w:eastAsia="Century Gothic" w:hAnsi="Century Gothic" w:cs="Century Gothic"/>
          <w:i/>
          <w:iCs/>
          <w:sz w:val="22"/>
          <w:szCs w:val="22"/>
        </w:rPr>
        <w:t>Platinum</w:t>
      </w:r>
      <w:proofErr w:type="spellEnd"/>
      <w:r>
        <w:rPr>
          <w:rFonts w:ascii="Century Gothic" w:eastAsia="Century Gothic" w:hAnsi="Century Gothic" w:cs="Century Gothic"/>
          <w:i/>
          <w:iCs/>
          <w:sz w:val="22"/>
          <w:szCs w:val="22"/>
        </w:rPr>
        <w:t xml:space="preserve"> </w:t>
      </w:r>
      <w:proofErr w:type="spellStart"/>
      <w:r>
        <w:rPr>
          <w:rFonts w:ascii="Century Gothic" w:eastAsia="Century Gothic" w:hAnsi="Century Gothic" w:cs="Century Gothic"/>
          <w:i/>
          <w:iCs/>
          <w:sz w:val="22"/>
          <w:szCs w:val="22"/>
        </w:rPr>
        <w:t>Skywards</w:t>
      </w:r>
      <w:proofErr w:type="spellEnd"/>
      <w:r>
        <w:rPr>
          <w:rFonts w:ascii="Century Gothic" w:eastAsia="Century Gothic" w:hAnsi="Century Gothic" w:cs="Century Gothic"/>
          <w:sz w:val="22"/>
          <w:szCs w:val="22"/>
        </w:rPr>
        <w:t>.</w:t>
      </w:r>
    </w:p>
    <w:p w14:paraId="51631DA4"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62750D58" w14:textId="77777777" w:rsidR="00893803" w:rsidRDefault="00000000">
      <w:pPr>
        <w:numPr>
          <w:ilvl w:val="0"/>
          <w:numId w:val="4"/>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Asegurarse de que el equipaje cumple los requisitos de </w:t>
      </w:r>
      <w:proofErr w:type="spellStart"/>
      <w:r>
        <w:rPr>
          <w:rFonts w:ascii="Century Gothic" w:eastAsia="Century Gothic" w:hAnsi="Century Gothic" w:cs="Century Gothic"/>
          <w:b/>
          <w:bCs/>
          <w:sz w:val="22"/>
          <w:szCs w:val="22"/>
        </w:rPr>
        <w:t>Emirates</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solicita a los clientes que estén atentos al hacer las maletas y que sigan los procedimientos relativos a los artículos restringidos. Por ejemplo: los clientes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solo pueden llevar un cargador portátil de menos de 100 vatios/hora y deben disponer de información sobre su capacidad nominal. Los cargadores portátiles deben colocarse en el bolsillo del asiento o en una bolsa debajo del asiento delantero y no se permiten en el equipaje facturado. Las maletas inteligentes están permitidas en la cabina si la batería es extraíble, está apagada y cumple con los límites de tamaño y peso del equipaje de mano. Los cigarrillos electrónicos, incluidos las pipas electrónicas, los quemadores de incienso (perfume) portátiles u otros vaporizadores personales que contengan baterías, deben protegerse individualmente para evitar su activación accidental y solo se permiten en el equipaje de mano.</w:t>
      </w:r>
    </w:p>
    <w:p w14:paraId="7FF589FA" w14:textId="77777777" w:rsidR="00C1467C" w:rsidRDefault="00C1467C" w:rsidP="00C1467C">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70DD6E32" w14:textId="77777777" w:rsidR="00C1467C" w:rsidRDefault="00C1467C" w:rsidP="00C1467C">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3F8DD0F8"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3E96986E" w14:textId="77777777" w:rsidR="00893803" w:rsidRDefault="00000000">
      <w:pPr>
        <w:pBdr>
          <w:top w:val="nil"/>
          <w:left w:val="nil"/>
          <w:bottom w:val="nil"/>
          <w:right w:val="nil"/>
          <w:between w:val="nil"/>
        </w:pBdr>
        <w:spacing w:line="360" w:lineRule="auto"/>
        <w:jc w:val="both"/>
        <w:rPr>
          <w:rFonts w:ascii="Century Gothic" w:eastAsia="Century Gothic" w:hAnsi="Century Gothic" w:cs="Century Gothic"/>
          <w:b/>
          <w:bCs/>
          <w:sz w:val="22"/>
          <w:szCs w:val="22"/>
        </w:rPr>
      </w:pPr>
      <w:r>
        <w:rPr>
          <w:rFonts w:ascii="Century Gothic" w:eastAsia="Century Gothic" w:hAnsi="Century Gothic" w:cs="Century Gothic"/>
          <w:b/>
          <w:bCs/>
          <w:sz w:val="22"/>
          <w:szCs w:val="22"/>
        </w:rPr>
        <w:lastRenderedPageBreak/>
        <w:t xml:space="preserve">Más consejos de </w:t>
      </w:r>
      <w:proofErr w:type="spellStart"/>
      <w:r>
        <w:rPr>
          <w:rFonts w:ascii="Century Gothic" w:eastAsia="Century Gothic" w:hAnsi="Century Gothic" w:cs="Century Gothic"/>
          <w:b/>
          <w:bCs/>
          <w:sz w:val="22"/>
          <w:szCs w:val="22"/>
        </w:rPr>
        <w:t>Emirates</w:t>
      </w:r>
      <w:proofErr w:type="spellEnd"/>
      <w:r>
        <w:rPr>
          <w:rFonts w:ascii="Century Gothic" w:eastAsia="Century Gothic" w:hAnsi="Century Gothic" w:cs="Century Gothic"/>
          <w:b/>
          <w:bCs/>
          <w:sz w:val="22"/>
          <w:szCs w:val="22"/>
        </w:rPr>
        <w:t xml:space="preserve"> para este diciembre: </w:t>
      </w:r>
    </w:p>
    <w:p w14:paraId="326281BD"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b/>
          <w:bCs/>
          <w:sz w:val="22"/>
          <w:szCs w:val="22"/>
        </w:rPr>
      </w:pPr>
    </w:p>
    <w:p w14:paraId="0817F7F8" w14:textId="77777777" w:rsidR="00893803"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Encargar por adelantado sus compras navideñas</w:t>
      </w:r>
      <w:r>
        <w:rPr>
          <w:rFonts w:ascii="Century Gothic" w:eastAsia="Century Gothic" w:hAnsi="Century Gothic" w:cs="Century Gothic"/>
          <w:sz w:val="22"/>
          <w:szCs w:val="22"/>
        </w:rPr>
        <w:t xml:space="preserve">: los clientes que deseen ahorrar aún más tiempo pueden encargar por adelantado sus regalos y compras en EmiratesRED.com y acceder a productos minoristas exclusivos, que luego les serán entregados en su asiento durante el vuelo por la tripulación de cabina. El servicio de encargo por adelantado está disponible en la mayoría de los vuelos, y los clientes pueden comprar entre 21 días y 40 horas antes de su vuelo, proporcionando los datos de su vuelo durante el proceso de pago. El catálogo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RED Winter 2025 incluye más de 300 productos de marcas como </w:t>
      </w:r>
      <w:proofErr w:type="spellStart"/>
      <w:r>
        <w:rPr>
          <w:rFonts w:ascii="Century Gothic" w:eastAsia="Century Gothic" w:hAnsi="Century Gothic" w:cs="Century Gothic"/>
          <w:sz w:val="22"/>
          <w:szCs w:val="22"/>
        </w:rPr>
        <w:t>Hermès</w:t>
      </w:r>
      <w:proofErr w:type="spellEnd"/>
      <w:r>
        <w:rPr>
          <w:rFonts w:ascii="Century Gothic" w:eastAsia="Century Gothic" w:hAnsi="Century Gothic" w:cs="Century Gothic"/>
          <w:sz w:val="22"/>
          <w:szCs w:val="22"/>
        </w:rPr>
        <w:t>, Cartier, Tom Ford, Creed y Jo Malone, y los clientes que realicen un pedido por adelantado pueden utilizar el código RED10 para obtener un 10 % de descuento.</w:t>
      </w:r>
    </w:p>
    <w:p w14:paraId="1A90A370" w14:textId="77777777" w:rsidR="00893803" w:rsidRDefault="00893803">
      <w:pPr>
        <w:pBdr>
          <w:top w:val="nil"/>
          <w:left w:val="nil"/>
          <w:bottom w:val="nil"/>
          <w:right w:val="nil"/>
          <w:between w:val="nil"/>
        </w:pBdr>
        <w:spacing w:line="360" w:lineRule="auto"/>
        <w:jc w:val="both"/>
        <w:rPr>
          <w:rFonts w:ascii="Century Gothic" w:eastAsia="Century Gothic" w:hAnsi="Century Gothic" w:cs="Century Gothic"/>
          <w:sz w:val="22"/>
          <w:szCs w:val="22"/>
        </w:rPr>
      </w:pPr>
    </w:p>
    <w:p w14:paraId="39DAB7F6" w14:textId="77777777" w:rsidR="00893803" w:rsidRDefault="00000000">
      <w:pPr>
        <w:numPr>
          <w:ilvl w:val="0"/>
          <w:numId w:val="2"/>
        </w:numPr>
        <w:pBdr>
          <w:top w:val="nil"/>
          <w:left w:val="nil"/>
          <w:bottom w:val="nil"/>
          <w:right w:val="nil"/>
          <w:between w:val="nil"/>
        </w:pBdr>
        <w:spacing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 xml:space="preserve">Obtener asistencia adicional en el nuevo Centro de viajes accesibles e inclusivos de </w:t>
      </w:r>
      <w:proofErr w:type="spellStart"/>
      <w:r>
        <w:rPr>
          <w:rFonts w:ascii="Century Gothic" w:eastAsia="Century Gothic" w:hAnsi="Century Gothic" w:cs="Century Gothic"/>
          <w:b/>
          <w:bCs/>
          <w:sz w:val="22"/>
          <w:szCs w:val="22"/>
        </w:rPr>
        <w:t>Emirates</w:t>
      </w:r>
      <w:proofErr w:type="spellEnd"/>
      <w:r>
        <w:rPr>
          <w:rFonts w:ascii="Century Gothic" w:eastAsia="Century Gothic" w:hAnsi="Century Gothic" w:cs="Century Gothic"/>
          <w:b/>
          <w:bCs/>
          <w:sz w:val="22"/>
          <w:szCs w:val="22"/>
        </w:rPr>
        <w:t>:</w:t>
      </w:r>
      <w:r>
        <w:rPr>
          <w:rFonts w:ascii="Century Gothic" w:eastAsia="Century Gothic" w:hAnsi="Century Gothic" w:cs="Century Gothic"/>
          <w:sz w:val="22"/>
          <w:szCs w:val="22"/>
        </w:rPr>
        <w:t xml:space="preserve"> el nuevo Centro de viajes accesibles e inclusivos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en emirates.com está diseñado para contener toda la información necesaria para realizar viajes accesibles e inclusivos, con una navegación fácil de usar que permite a los clientes encontrar información de forma rápida y explorar las numerosas formas en que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puede proporcionar asistencia y apoyo durante el viaje. Los servicios incluyen: reservar asistencia especial, prepararse para el viaje con la guía adaptada al autismo, explorar el mapa del aeropuerto de Dubái (DXB) y las guías sensoriales, solicitar asistencia en la aplicación “Be </w:t>
      </w:r>
      <w:proofErr w:type="spellStart"/>
      <w:r>
        <w:rPr>
          <w:rFonts w:ascii="Century Gothic" w:eastAsia="Century Gothic" w:hAnsi="Century Gothic" w:cs="Century Gothic"/>
          <w:sz w:val="22"/>
          <w:szCs w:val="22"/>
        </w:rPr>
        <w:t>My</w:t>
      </w:r>
      <w:proofErr w:type="spellEnd"/>
      <w:r>
        <w:rPr>
          <w:rFonts w:ascii="Century Gothic" w:eastAsia="Century Gothic" w:hAnsi="Century Gothic" w:cs="Century Gothic"/>
          <w:sz w:val="22"/>
          <w:szCs w:val="22"/>
        </w:rPr>
        <w:t xml:space="preserve"> </w:t>
      </w:r>
      <w:proofErr w:type="spellStart"/>
      <w:r>
        <w:rPr>
          <w:rFonts w:ascii="Century Gothic" w:eastAsia="Century Gothic" w:hAnsi="Century Gothic" w:cs="Century Gothic"/>
          <w:sz w:val="22"/>
          <w:szCs w:val="22"/>
        </w:rPr>
        <w:t>Eyes</w:t>
      </w:r>
      <w:proofErr w:type="spellEnd"/>
      <w:r>
        <w:rPr>
          <w:rFonts w:ascii="Century Gothic" w:eastAsia="Century Gothic" w:hAnsi="Century Gothic" w:cs="Century Gothic"/>
          <w:sz w:val="22"/>
          <w:szCs w:val="22"/>
        </w:rPr>
        <w:t>” para personas con discapacidad visual, y adquirir una tarjeta turística Sanad para acceder a servicios útiles en Dubái, desde viajar con silla de ruedas, viajes con niños, durante el embarazo, y mucho más.</w:t>
      </w:r>
    </w:p>
    <w:p w14:paraId="16D01BA8" w14:textId="77777777" w:rsidR="00893803" w:rsidRDefault="00000000">
      <w:pPr>
        <w:numPr>
          <w:ilvl w:val="0"/>
          <w:numId w:val="5"/>
        </w:numPr>
        <w:pBdr>
          <w:top w:val="nil"/>
          <w:left w:val="nil"/>
          <w:bottom w:val="nil"/>
          <w:right w:val="nil"/>
          <w:between w:val="nil"/>
        </w:pBdr>
        <w:spacing w:before="280" w:line="360" w:lineRule="auto"/>
        <w:jc w:val="both"/>
        <w:rPr>
          <w:rFonts w:ascii="Century Gothic" w:eastAsia="Century Gothic" w:hAnsi="Century Gothic" w:cs="Century Gothic"/>
          <w:sz w:val="22"/>
          <w:szCs w:val="22"/>
        </w:rPr>
      </w:pPr>
      <w:r>
        <w:rPr>
          <w:rFonts w:ascii="Century Gothic" w:eastAsia="Century Gothic" w:hAnsi="Century Gothic" w:cs="Century Gothic"/>
          <w:b/>
          <w:bCs/>
          <w:sz w:val="22"/>
          <w:szCs w:val="22"/>
        </w:rPr>
        <w:t>Disfrutar de las opciones de transporte en el aeropuerto</w:t>
      </w:r>
      <w:r>
        <w:rPr>
          <w:rFonts w:ascii="Century Gothic" w:eastAsia="Century Gothic" w:hAnsi="Century Gothic" w:cs="Century Gothic"/>
          <w:sz w:val="22"/>
          <w:szCs w:val="22"/>
        </w:rPr>
        <w:t xml:space="preserve">: una vez en el aeropuerto, se pueden utilizar una serie de opciones de transporte para desplazarse sin problemas. Para llegar en tren al aeropuerto, se accede por la terminal B. Para llegar a la terminal A, los clientes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pueden utilizar el tren gratuito de la terminal 3.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también ofrece un servicio de autobús lanzadera entre la </w:t>
      </w:r>
      <w:r>
        <w:rPr>
          <w:rFonts w:ascii="Century Gothic" w:eastAsia="Century Gothic" w:hAnsi="Century Gothic" w:cs="Century Gothic"/>
          <w:sz w:val="22"/>
          <w:szCs w:val="22"/>
        </w:rPr>
        <w:lastRenderedPageBreak/>
        <w:t xml:space="preserve">terminal A y la terminal C, las 24 horas del día, los 7 días de la semana. El autobús sale cada 20 minutos y la duración media del trayecto también es de 20 minutos. Los puntos de recogida y entrega están claramente señalizados en los mostradores de conexión. Los clientes de </w:t>
      </w:r>
      <w:proofErr w:type="spellStart"/>
      <w:r>
        <w:rPr>
          <w:rFonts w:ascii="Century Gothic" w:eastAsia="Century Gothic" w:hAnsi="Century Gothic" w:cs="Century Gothic"/>
          <w:i/>
          <w:iCs/>
          <w:sz w:val="22"/>
          <w:szCs w:val="22"/>
        </w:rPr>
        <w:t>First</w:t>
      </w:r>
      <w:proofErr w:type="spellEnd"/>
      <w:r>
        <w:rPr>
          <w:rFonts w:ascii="Century Gothic" w:eastAsia="Century Gothic" w:hAnsi="Century Gothic" w:cs="Century Gothic"/>
          <w:i/>
          <w:iCs/>
          <w:sz w:val="22"/>
          <w:szCs w:val="22"/>
        </w:rPr>
        <w:t xml:space="preserve"> </w:t>
      </w:r>
      <w:proofErr w:type="spellStart"/>
      <w:r>
        <w:rPr>
          <w:rFonts w:ascii="Century Gothic" w:eastAsia="Century Gothic" w:hAnsi="Century Gothic" w:cs="Century Gothic"/>
          <w:i/>
          <w:iCs/>
          <w:sz w:val="22"/>
          <w:szCs w:val="22"/>
        </w:rPr>
        <w:t>Class</w:t>
      </w:r>
      <w:proofErr w:type="spellEnd"/>
      <w:r>
        <w:rPr>
          <w:rFonts w:ascii="Century Gothic" w:eastAsia="Century Gothic" w:hAnsi="Century Gothic" w:cs="Century Gothic"/>
          <w:sz w:val="22"/>
          <w:szCs w:val="22"/>
        </w:rPr>
        <w:t xml:space="preserve"> también pueden utilizar los </w:t>
      </w:r>
      <w:proofErr w:type="spellStart"/>
      <w:r>
        <w:rPr>
          <w:rFonts w:ascii="Century Gothic" w:eastAsia="Century Gothic" w:hAnsi="Century Gothic" w:cs="Century Gothic"/>
          <w:i/>
          <w:iCs/>
          <w:sz w:val="22"/>
          <w:szCs w:val="22"/>
        </w:rPr>
        <w:t>buggies</w:t>
      </w:r>
      <w:proofErr w:type="spellEnd"/>
      <w:r>
        <w:rPr>
          <w:rFonts w:ascii="Century Gothic" w:eastAsia="Century Gothic" w:hAnsi="Century Gothic" w:cs="Century Gothic"/>
          <w:sz w:val="22"/>
          <w:szCs w:val="22"/>
        </w:rPr>
        <w:t xml:space="preserve"> exclusivos de </w:t>
      </w:r>
      <w:proofErr w:type="spellStart"/>
      <w:r>
        <w:rPr>
          <w:rFonts w:ascii="Century Gothic" w:eastAsia="Century Gothic" w:hAnsi="Century Gothic" w:cs="Century Gothic"/>
          <w:sz w:val="22"/>
          <w:szCs w:val="22"/>
        </w:rPr>
        <w:t>Emirates</w:t>
      </w:r>
      <w:proofErr w:type="spellEnd"/>
      <w:r>
        <w:rPr>
          <w:rFonts w:ascii="Century Gothic" w:eastAsia="Century Gothic" w:hAnsi="Century Gothic" w:cs="Century Gothic"/>
          <w:sz w:val="22"/>
          <w:szCs w:val="22"/>
        </w:rPr>
        <w:t xml:space="preserve">, disponibles bajo petición en todo el aeropuerto, mientras que los </w:t>
      </w:r>
      <w:proofErr w:type="spellStart"/>
      <w:r>
        <w:rPr>
          <w:rFonts w:ascii="Century Gothic" w:eastAsia="Century Gothic" w:hAnsi="Century Gothic" w:cs="Century Gothic"/>
          <w:i/>
          <w:iCs/>
          <w:sz w:val="22"/>
          <w:szCs w:val="22"/>
        </w:rPr>
        <w:t>buggies</w:t>
      </w:r>
      <w:proofErr w:type="spellEnd"/>
      <w:r>
        <w:rPr>
          <w:rFonts w:ascii="Century Gothic" w:eastAsia="Century Gothic" w:hAnsi="Century Gothic" w:cs="Century Gothic"/>
          <w:sz w:val="22"/>
          <w:szCs w:val="22"/>
        </w:rPr>
        <w:t xml:space="preserve"> del aeropuerto de Dubái (también llamados “</w:t>
      </w:r>
      <w:proofErr w:type="spellStart"/>
      <w:r>
        <w:rPr>
          <w:rFonts w:ascii="Century Gothic" w:eastAsia="Century Gothic" w:hAnsi="Century Gothic" w:cs="Century Gothic"/>
          <w:sz w:val="22"/>
          <w:szCs w:val="22"/>
        </w:rPr>
        <w:t>Dubai</w:t>
      </w:r>
      <w:proofErr w:type="spellEnd"/>
      <w:r>
        <w:rPr>
          <w:rFonts w:ascii="Century Gothic" w:eastAsia="Century Gothic" w:hAnsi="Century Gothic" w:cs="Century Gothic"/>
          <w:sz w:val="22"/>
          <w:szCs w:val="22"/>
        </w:rPr>
        <w:t xml:space="preserve"> Taxi”) están disponibles para todos los clientes de forma gratuita, con prioridad para las personas mayores, las familias con niños y las personas con discapacidad.</w:t>
      </w:r>
    </w:p>
    <w:p w14:paraId="48C1B3DA" w14:textId="77777777" w:rsidR="00893803" w:rsidRDefault="00000000">
      <w:pPr>
        <w:spacing w:before="280" w:line="360" w:lineRule="auto"/>
        <w:jc w:val="both"/>
        <w:rPr>
          <w:rFonts w:ascii="Century Gothic" w:eastAsia="Century Gothic" w:hAnsi="Century Gothic" w:cs="Century Gothic"/>
          <w:color w:val="222222"/>
          <w:sz w:val="20"/>
          <w:szCs w:val="20"/>
        </w:rPr>
      </w:pPr>
      <w:r>
        <w:rPr>
          <w:rFonts w:ascii="Century Gothic" w:eastAsia="Century Gothic" w:hAnsi="Century Gothic" w:cs="Century Gothic"/>
          <w:b/>
          <w:bCs/>
          <w:i/>
          <w:iCs/>
          <w:color w:val="222222"/>
          <w:sz w:val="20"/>
          <w:szCs w:val="20"/>
        </w:rPr>
        <w:t xml:space="preserve">Acerca de </w:t>
      </w:r>
      <w:proofErr w:type="spellStart"/>
      <w:r>
        <w:rPr>
          <w:rFonts w:ascii="Century Gothic" w:eastAsia="Century Gothic" w:hAnsi="Century Gothic" w:cs="Century Gothic"/>
          <w:b/>
          <w:bCs/>
          <w:i/>
          <w:iCs/>
          <w:color w:val="222222"/>
          <w:sz w:val="20"/>
          <w:szCs w:val="20"/>
        </w:rPr>
        <w:t>Emirates</w:t>
      </w:r>
      <w:proofErr w:type="spellEnd"/>
    </w:p>
    <w:p w14:paraId="4A1D9866" w14:textId="77777777" w:rsidR="00893803" w:rsidRDefault="00000000">
      <w:pPr>
        <w:shd w:val="clear" w:color="auto" w:fill="FFFFFF"/>
        <w:jc w:val="both"/>
        <w:rPr>
          <w:rFonts w:ascii="Arial" w:eastAsia="Arial" w:hAnsi="Arial" w:cs="Arial"/>
          <w:b/>
          <w:bCs/>
          <w:color w:val="222222"/>
          <w:sz w:val="20"/>
          <w:szCs w:val="20"/>
        </w:rPr>
      </w:pP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es la aerolínea internacional más grande del mundo y conecta a viajeros con más de 150 ciudades.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opera la flota más grande del mundo de Boeing 777 y Airbus A380, y ahora opera el Airbus A350, que ofrece cabinas espaciosas y características icónicas a bordo en toda su flota. Con una plantilla culturalmente diversa, </w:t>
      </w:r>
      <w:proofErr w:type="spellStart"/>
      <w:r>
        <w:rPr>
          <w:rFonts w:ascii="Century Gothic" w:eastAsia="Century Gothic" w:hAnsi="Century Gothic" w:cs="Century Gothic"/>
          <w:color w:val="222222"/>
          <w:sz w:val="20"/>
          <w:szCs w:val="20"/>
        </w:rPr>
        <w:t>Emirates</w:t>
      </w:r>
      <w:proofErr w:type="spellEnd"/>
      <w:r>
        <w:rPr>
          <w:rFonts w:ascii="Century Gothic" w:eastAsia="Century Gothic" w:hAnsi="Century Gothic" w:cs="Century Gothic"/>
          <w:color w:val="222222"/>
          <w:sz w:val="20"/>
          <w:szCs w:val="20"/>
        </w:rPr>
        <w:t xml:space="preserve"> atiende a su base global de clientes ofreciendo servicios excepcionales y productos de primera clase, y se ha ganado el reconocimiento de sus clientes por sus servicios líderes en la industria, tanto en tierra como en el aire.</w:t>
      </w:r>
    </w:p>
    <w:sectPr w:rsidR="00893803">
      <w:headerReference w:type="default" r:id="rId8"/>
      <w:pgSz w:w="11900" w:h="16840"/>
      <w:pgMar w:top="1417" w:right="1268" w:bottom="734" w:left="1276"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21C06" w14:textId="77777777" w:rsidR="00EF6D21" w:rsidRDefault="00EF6D21">
      <w:r>
        <w:separator/>
      </w:r>
    </w:p>
  </w:endnote>
  <w:endnote w:type="continuationSeparator" w:id="0">
    <w:p w14:paraId="287E55D3" w14:textId="77777777" w:rsidR="00EF6D21" w:rsidRDefault="00EF6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5DB8CE1C-F8B4-F340-A6E3-502A08369F8D}"/>
    <w:embedBold r:id="rId2" w:fontKey="{5E6E79E2-283B-A545-9938-6EBCA76D5619}"/>
    <w:embedItalic r:id="rId3" w:fontKey="{0320E31D-79D1-544E-9234-3C902803B61F}"/>
  </w:font>
  <w:font w:name="Calibri">
    <w:panose1 w:val="020F0502020204030204"/>
    <w:charset w:val="00"/>
    <w:family w:val="modern"/>
    <w:pitch w:val="variable"/>
    <w:sig w:usb0="00000003" w:usb1="00000000" w:usb2="00000000" w:usb3="00000000" w:csb0="00000001" w:csb1="00000000"/>
    <w:embedRegular r:id="rId4" w:fontKey="{1272CF6E-243A-6446-9AFA-B663B18E9FC2}"/>
  </w:font>
  <w:font w:name="Cambria">
    <w:panose1 w:val="02040503050406030204"/>
    <w:charset w:val="00"/>
    <w:family w:val="roman"/>
    <w:pitch w:val="variable"/>
    <w:sig w:usb0="E00002FF" w:usb1="400004FF" w:usb2="00000000" w:usb3="00000000" w:csb0="0000019F" w:csb1="00000000"/>
    <w:embedRegular r:id="rId5" w:fontKey="{0E18F06A-3431-644E-A686-68A9B6BF8FBE}"/>
  </w:font>
  <w:font w:name="Georgia">
    <w:panose1 w:val="02040502050405020303"/>
    <w:charset w:val="00"/>
    <w:family w:val="roman"/>
    <w:pitch w:val="variable"/>
    <w:sig w:usb0="00000287" w:usb1="00000000" w:usb2="00000000" w:usb3="00000000" w:csb0="0000009F" w:csb1="00000000"/>
    <w:embedItalic r:id="rId6" w:fontKey="{2B69F911-FD18-0A42-AC3C-8FAB951D279D}"/>
  </w:font>
  <w:font w:name="Century Gothic">
    <w:panose1 w:val="020B0502020202020204"/>
    <w:charset w:val="00"/>
    <w:family w:val="swiss"/>
    <w:pitch w:val="variable"/>
    <w:sig w:usb0="00000287" w:usb1="00000000" w:usb2="00000000" w:usb3="00000000" w:csb0="0000009F" w:csb1="00000000"/>
    <w:embedRegular r:id="rId7" w:fontKey="{B30CFC63-F177-A946-BC15-0EF976951220}"/>
    <w:embedBold r:id="rId8" w:fontKey="{5E2687AA-66B4-024E-BA62-A96C2CD66594}"/>
    <w:embedItalic r:id="rId9" w:fontKey="{67FAF441-61A5-AE40-8514-D5B2CD5A3F60}"/>
    <w:embedBoldItalic r:id="rId10" w:fontKey="{A6E0E0DE-D7AC-484F-9E96-6A212B6002DC}"/>
  </w:font>
  <w:font w:name="Arial">
    <w:panose1 w:val="020B0604020202020204"/>
    <w:charset w:val="00"/>
    <w:family w:val="swiss"/>
    <w:pitch w:val="variable"/>
    <w:sig w:usb0="E0002AFF" w:usb1="C0007843" w:usb2="00000009" w:usb3="00000000" w:csb0="000001FF" w:csb1="00000000"/>
    <w:embedBold r:id="rId11" w:fontKey="{54FA8EE6-77B0-C748-8D5D-C9D2BA25195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0D15B" w14:textId="77777777" w:rsidR="00EF6D21" w:rsidRDefault="00EF6D21">
      <w:r>
        <w:separator/>
      </w:r>
    </w:p>
  </w:footnote>
  <w:footnote w:type="continuationSeparator" w:id="0">
    <w:p w14:paraId="77328622" w14:textId="77777777" w:rsidR="00EF6D21" w:rsidRDefault="00EF6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EA39E" w14:textId="77777777" w:rsidR="00893803" w:rsidRDefault="00000000">
    <w:pPr>
      <w:pBdr>
        <w:top w:val="nil"/>
        <w:left w:val="nil"/>
        <w:bottom w:val="nil"/>
        <w:right w:val="nil"/>
        <w:between w:val="nil"/>
      </w:pBdr>
      <w:tabs>
        <w:tab w:val="right" w:pos="8478"/>
      </w:tabs>
      <w:spacing w:after="200"/>
      <w:rPr>
        <w:rFonts w:ascii="Cambria" w:eastAsia="Cambria" w:hAnsi="Cambria" w:cs="Cambria"/>
        <w:color w:val="000000"/>
      </w:rPr>
    </w:pPr>
    <w:r>
      <w:rPr>
        <w:noProof/>
      </w:rPr>
      <w:drawing>
        <wp:anchor distT="0" distB="0" distL="0" distR="0" simplePos="0" relativeHeight="251658240" behindDoc="0" locked="0" layoutInCell="1" hidden="0" allowOverlap="1" wp14:anchorId="35530BE5" wp14:editId="4DFC15F3">
          <wp:simplePos x="0" y="0"/>
          <wp:positionH relativeFrom="column">
            <wp:posOffset>0</wp:posOffset>
          </wp:positionH>
          <wp:positionV relativeFrom="paragraph">
            <wp:posOffset>0</wp:posOffset>
          </wp:positionV>
          <wp:extent cx="2073275" cy="1430655"/>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3275" cy="1430655"/>
                  </a:xfrm>
                  <a:prstGeom prst="rect">
                    <a:avLst/>
                  </a:prstGeom>
                  <a:ln/>
                </pic:spPr>
              </pic:pic>
            </a:graphicData>
          </a:graphic>
        </wp:anchor>
      </w:drawing>
    </w:r>
  </w:p>
  <w:p w14:paraId="5D77B4DF" w14:textId="77777777" w:rsidR="00893803" w:rsidRDefault="00893803">
    <w:pPr>
      <w:pBdr>
        <w:top w:val="nil"/>
        <w:left w:val="nil"/>
        <w:bottom w:val="nil"/>
        <w:right w:val="nil"/>
        <w:between w:val="nil"/>
      </w:pBdr>
      <w:tabs>
        <w:tab w:val="right" w:pos="8478"/>
      </w:tabs>
      <w:spacing w:after="200"/>
      <w:rPr>
        <w:rFonts w:ascii="Cambria" w:eastAsia="Cambria" w:hAnsi="Cambria" w:cs="Cambria"/>
        <w:color w:val="000000"/>
      </w:rPr>
    </w:pPr>
  </w:p>
  <w:p w14:paraId="5462ABFF" w14:textId="77777777" w:rsidR="00893803" w:rsidRDefault="00893803">
    <w:pPr>
      <w:pBdr>
        <w:top w:val="nil"/>
        <w:left w:val="nil"/>
        <w:bottom w:val="nil"/>
        <w:right w:val="nil"/>
        <w:between w:val="nil"/>
      </w:pBdr>
      <w:tabs>
        <w:tab w:val="right" w:pos="8478"/>
      </w:tabs>
      <w:spacing w:after="200"/>
      <w:rPr>
        <w:rFonts w:ascii="Cambria" w:eastAsia="Cambria" w:hAnsi="Cambria" w:cs="Cambria"/>
        <w:color w:val="000000"/>
      </w:rPr>
    </w:pPr>
  </w:p>
  <w:p w14:paraId="686D3F6F" w14:textId="77777777" w:rsidR="00893803" w:rsidRDefault="00893803">
    <w:pPr>
      <w:pBdr>
        <w:top w:val="nil"/>
        <w:left w:val="nil"/>
        <w:bottom w:val="nil"/>
        <w:right w:val="nil"/>
        <w:between w:val="nil"/>
      </w:pBdr>
      <w:tabs>
        <w:tab w:val="right" w:pos="8478"/>
      </w:tabs>
      <w:spacing w:after="200"/>
      <w:rPr>
        <w:rFonts w:ascii="Cambria" w:eastAsia="Cambria" w:hAnsi="Cambria" w:cs="Cambria"/>
        <w:color w:val="000000"/>
      </w:rPr>
    </w:pPr>
  </w:p>
  <w:p w14:paraId="42277172" w14:textId="77777777" w:rsidR="00893803" w:rsidRDefault="00893803">
    <w:pPr>
      <w:pBdr>
        <w:top w:val="nil"/>
        <w:left w:val="nil"/>
        <w:bottom w:val="nil"/>
        <w:right w:val="nil"/>
        <w:between w:val="nil"/>
      </w:pBdr>
      <w:tabs>
        <w:tab w:val="right" w:pos="8478"/>
      </w:tabs>
      <w:spacing w:after="200"/>
      <w:rPr>
        <w:rFonts w:ascii="Cambria" w:eastAsia="Cambria" w:hAnsi="Cambria" w:cs="Cambria"/>
        <w:color w:val="000000"/>
      </w:rPr>
    </w:pPr>
  </w:p>
  <w:p w14:paraId="7E38005F" w14:textId="77777777" w:rsidR="00893803" w:rsidRDefault="00893803">
    <w:pPr>
      <w:pBdr>
        <w:top w:val="nil"/>
        <w:left w:val="nil"/>
        <w:bottom w:val="nil"/>
        <w:right w:val="nil"/>
        <w:between w:val="nil"/>
      </w:pBdr>
      <w:tabs>
        <w:tab w:val="right" w:pos="8478"/>
      </w:tabs>
      <w:spacing w:after="200"/>
      <w:rPr>
        <w:rFonts w:ascii="Cambria" w:eastAsia="Cambria" w:hAnsi="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532F0"/>
    <w:multiLevelType w:val="multilevel"/>
    <w:tmpl w:val="B0D45F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7CE708C"/>
    <w:multiLevelType w:val="multilevel"/>
    <w:tmpl w:val="2C144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D5F1A02"/>
    <w:multiLevelType w:val="multilevel"/>
    <w:tmpl w:val="0C9874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CEA0AE0"/>
    <w:multiLevelType w:val="multilevel"/>
    <w:tmpl w:val="CF7A1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15C2150"/>
    <w:multiLevelType w:val="multilevel"/>
    <w:tmpl w:val="489CFB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47749741">
    <w:abstractNumId w:val="1"/>
  </w:num>
  <w:num w:numId="2" w16cid:durableId="1999377521">
    <w:abstractNumId w:val="3"/>
  </w:num>
  <w:num w:numId="3" w16cid:durableId="1530991053">
    <w:abstractNumId w:val="2"/>
  </w:num>
  <w:num w:numId="4" w16cid:durableId="1420786955">
    <w:abstractNumId w:val="4"/>
  </w:num>
  <w:num w:numId="5" w16cid:durableId="30349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803"/>
    <w:rsid w:val="002856BA"/>
    <w:rsid w:val="00893803"/>
    <w:rsid w:val="00C1467C"/>
    <w:rsid w:val="00EF6D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4E1A9A75"/>
  <w15:docId w15:val="{687E09D5-CF60-F641-A674-77AFD410D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80" w:after="120"/>
      <w:outlineLvl w:val="0"/>
    </w:pPr>
    <w:rPr>
      <w:b/>
      <w:bCs/>
      <w:color w:val="000000"/>
      <w:sz w:val="48"/>
      <w:szCs w:val="48"/>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80"/>
      <w:outlineLvl w:val="1"/>
    </w:pPr>
    <w:rPr>
      <w:b/>
      <w:bCs/>
      <w:color w:val="000000"/>
      <w:sz w:val="36"/>
      <w:szCs w:val="36"/>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280" w:after="80"/>
      <w:outlineLvl w:val="2"/>
    </w:pPr>
    <w:rPr>
      <w:b/>
      <w:bCs/>
      <w:color w:val="000000"/>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40" w:after="40"/>
      <w:outlineLvl w:val="3"/>
    </w:pPr>
    <w:rPr>
      <w:b/>
      <w:bCs/>
      <w:color w:val="000000"/>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20" w:after="40"/>
      <w:outlineLvl w:val="4"/>
    </w:pPr>
    <w:rPr>
      <w:b/>
      <w:bCs/>
      <w:color w:val="000000"/>
      <w:sz w:val="22"/>
      <w:szCs w:val="22"/>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00" w:after="40"/>
      <w:outlineLvl w:val="5"/>
    </w:pPr>
    <w:rPr>
      <w:b/>
      <w:bCs/>
      <w:color w:val="00000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pBdr>
        <w:top w:val="nil"/>
        <w:left w:val="nil"/>
        <w:bottom w:val="nil"/>
        <w:right w:val="nil"/>
        <w:between w:val="nil"/>
      </w:pBdr>
      <w:spacing w:before="480" w:after="120"/>
    </w:pPr>
    <w:rPr>
      <w:b/>
      <w:bCs/>
      <w:color w:val="000000"/>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a">
    <w:basedOn w:val="TableNormal1"/>
    <w:tblPr>
      <w:tblStyleRowBandSize w:val="1"/>
      <w:tblStyleColBandSize w:val="1"/>
    </w:tblPr>
  </w:style>
  <w:style w:type="paragraph" w:styleId="Prrafodelista">
    <w:name w:val="List Paragraph"/>
    <w:aliases w:val="numbered,Paragraphe de liste1,Bullet List,FooterText"/>
    <w:basedOn w:val="Normal"/>
    <w:link w:val="PrrafodelistaCar"/>
    <w:uiPriority w:val="34"/>
    <w:qFormat/>
    <w:rsid w:val="004348AD"/>
    <w:pPr>
      <w:ind w:left="720"/>
      <w:contextualSpacing/>
    </w:pPr>
  </w:style>
  <w:style w:type="character" w:styleId="Hipervnculo">
    <w:name w:val="Hyperlink"/>
    <w:basedOn w:val="Fuentedeprrafopredeter"/>
    <w:uiPriority w:val="99"/>
    <w:unhideWhenUsed/>
    <w:rsid w:val="00D15796"/>
    <w:rPr>
      <w:color w:val="0000FF" w:themeColor="hyperlink"/>
      <w:u w:val="single"/>
    </w:rPr>
  </w:style>
  <w:style w:type="character" w:customStyle="1" w:styleId="Mencinsinresolver1">
    <w:name w:val="Mención sin resolver1"/>
    <w:basedOn w:val="Fuentedeprrafopredeter"/>
    <w:uiPriority w:val="99"/>
    <w:semiHidden/>
    <w:unhideWhenUsed/>
    <w:rsid w:val="007E7562"/>
    <w:rPr>
      <w:color w:val="605E5C"/>
      <w:shd w:val="clear" w:color="auto" w:fill="E1DFDD"/>
    </w:rPr>
  </w:style>
  <w:style w:type="character" w:styleId="Hipervnculovisitado">
    <w:name w:val="FollowedHyperlink"/>
    <w:basedOn w:val="Fuentedeprrafopredeter"/>
    <w:uiPriority w:val="99"/>
    <w:semiHidden/>
    <w:unhideWhenUsed/>
    <w:rsid w:val="007E7562"/>
    <w:rPr>
      <w:color w:val="800080" w:themeColor="followedHyperlink"/>
      <w:u w:val="single"/>
    </w:rPr>
  </w:style>
  <w:style w:type="paragraph" w:styleId="Encabezado">
    <w:name w:val="header"/>
    <w:basedOn w:val="Normal"/>
    <w:link w:val="EncabezadoCar"/>
    <w:uiPriority w:val="99"/>
    <w:unhideWhenUsed/>
    <w:rsid w:val="003E7D4F"/>
    <w:pPr>
      <w:tabs>
        <w:tab w:val="center" w:pos="4252"/>
        <w:tab w:val="right" w:pos="8504"/>
      </w:tabs>
    </w:pPr>
  </w:style>
  <w:style w:type="character" w:customStyle="1" w:styleId="EncabezadoCar">
    <w:name w:val="Encabezado Car"/>
    <w:basedOn w:val="Fuentedeprrafopredeter"/>
    <w:link w:val="Encabezado"/>
    <w:uiPriority w:val="99"/>
    <w:rsid w:val="003E7D4F"/>
  </w:style>
  <w:style w:type="paragraph" w:styleId="Piedepgina">
    <w:name w:val="footer"/>
    <w:basedOn w:val="Normal"/>
    <w:link w:val="PiedepginaCar"/>
    <w:uiPriority w:val="99"/>
    <w:unhideWhenUsed/>
    <w:rsid w:val="003E7D4F"/>
    <w:pPr>
      <w:tabs>
        <w:tab w:val="center" w:pos="4252"/>
        <w:tab w:val="right" w:pos="8504"/>
      </w:tabs>
    </w:pPr>
  </w:style>
  <w:style w:type="character" w:customStyle="1" w:styleId="PiedepginaCar">
    <w:name w:val="Pie de página Car"/>
    <w:basedOn w:val="Fuentedeprrafopredeter"/>
    <w:link w:val="Piedepgina"/>
    <w:uiPriority w:val="99"/>
    <w:rsid w:val="003E7D4F"/>
  </w:style>
  <w:style w:type="paragraph" w:styleId="NormalWeb">
    <w:name w:val="Normal (Web)"/>
    <w:basedOn w:val="Normal"/>
    <w:uiPriority w:val="99"/>
    <w:unhideWhenUsed/>
    <w:rsid w:val="001863FF"/>
    <w:pPr>
      <w:spacing w:before="100" w:beforeAutospacing="1" w:after="100" w:afterAutospacing="1"/>
    </w:pPr>
    <w:rPr>
      <w:rFonts w:ascii="Calibri" w:eastAsiaTheme="minorHAnsi" w:hAnsi="Calibri" w:cs="Calibri"/>
      <w:sz w:val="22"/>
      <w:szCs w:val="22"/>
      <w:lang w:val="en-GB"/>
    </w:rPr>
  </w:style>
  <w:style w:type="character" w:styleId="Textoennegrita">
    <w:name w:val="Strong"/>
    <w:basedOn w:val="Fuentedeprrafopredeter"/>
    <w:uiPriority w:val="22"/>
    <w:qFormat/>
    <w:rsid w:val="009368A3"/>
    <w:rPr>
      <w:b/>
      <w:bCs/>
    </w:rPr>
  </w:style>
  <w:style w:type="character" w:styleId="Mencinsinresolver">
    <w:name w:val="Unresolved Mention"/>
    <w:basedOn w:val="Fuentedeprrafopredeter"/>
    <w:uiPriority w:val="99"/>
    <w:semiHidden/>
    <w:unhideWhenUsed/>
    <w:rsid w:val="005647D6"/>
    <w:rPr>
      <w:color w:val="605E5C"/>
      <w:shd w:val="clear" w:color="auto" w:fill="E1DFDD"/>
    </w:rPr>
  </w:style>
  <w:style w:type="paragraph" w:styleId="Textocomentario">
    <w:name w:val="annotation text"/>
    <w:basedOn w:val="Normal"/>
    <w:link w:val="TextocomentarioCar"/>
    <w:uiPriority w:val="99"/>
    <w:semiHidden/>
    <w:unhideWhenUsed/>
    <w:rsid w:val="005647D6"/>
    <w:pPr>
      <w:spacing w:after="160"/>
    </w:pPr>
    <w:rPr>
      <w:rFonts w:asciiTheme="minorHAnsi" w:eastAsiaTheme="minorEastAsia" w:hAnsiTheme="minorHAnsi" w:cstheme="minorBidi"/>
      <w:sz w:val="20"/>
      <w:szCs w:val="20"/>
      <w:lang w:val="en-GB" w:eastAsia="zh-CN"/>
    </w:rPr>
  </w:style>
  <w:style w:type="character" w:customStyle="1" w:styleId="TextocomentarioCar">
    <w:name w:val="Texto comentario Car"/>
    <w:basedOn w:val="Fuentedeprrafopredeter"/>
    <w:link w:val="Textocomentario"/>
    <w:uiPriority w:val="99"/>
    <w:semiHidden/>
    <w:rsid w:val="005647D6"/>
    <w:rPr>
      <w:rFonts w:asciiTheme="minorHAnsi" w:eastAsiaTheme="minorEastAsia" w:hAnsiTheme="minorHAnsi" w:cstheme="minorBidi"/>
      <w:sz w:val="20"/>
      <w:szCs w:val="20"/>
      <w:lang w:val="en-GB" w:eastAsia="zh-CN"/>
    </w:rPr>
  </w:style>
  <w:style w:type="character" w:customStyle="1" w:styleId="PrrafodelistaCar">
    <w:name w:val="Párrafo de lista Car"/>
    <w:aliases w:val="numbered Car,Paragraphe de liste1 Car,Bullet List Car,FooterText Car"/>
    <w:basedOn w:val="Fuentedeprrafopredeter"/>
    <w:link w:val="Prrafodelista"/>
    <w:uiPriority w:val="34"/>
    <w:locked/>
    <w:rsid w:val="005647D6"/>
  </w:style>
  <w:style w:type="character" w:customStyle="1" w:styleId="wordsection1Char">
    <w:name w:val="wordsection1 Char"/>
    <w:basedOn w:val="Fuentedeprrafopredeter"/>
    <w:link w:val="wordsection1"/>
    <w:uiPriority w:val="99"/>
    <w:locked/>
    <w:rsid w:val="005647D6"/>
    <w:rPr>
      <w:rFonts w:ascii="Calibri" w:hAnsi="Calibri" w:cs="Calibri"/>
    </w:rPr>
  </w:style>
  <w:style w:type="paragraph" w:customStyle="1" w:styleId="wordsection1">
    <w:name w:val="wordsection1"/>
    <w:basedOn w:val="Normal"/>
    <w:link w:val="wordsection1Char"/>
    <w:uiPriority w:val="99"/>
    <w:rsid w:val="005647D6"/>
    <w:rPr>
      <w:rFonts w:ascii="Calibri" w:hAnsi="Calibri" w:cs="Calibri"/>
    </w:rPr>
  </w:style>
  <w:style w:type="character" w:styleId="Refdecomentario">
    <w:name w:val="annotation reference"/>
    <w:basedOn w:val="Fuentedeprrafopredeter"/>
    <w:uiPriority w:val="99"/>
    <w:semiHidden/>
    <w:unhideWhenUsed/>
    <w:rsid w:val="005647D6"/>
    <w:rPr>
      <w:sz w:val="16"/>
      <w:szCs w:val="16"/>
    </w:rPr>
  </w:style>
  <w:style w:type="character" w:customStyle="1" w:styleId="normaltextrun">
    <w:name w:val="normaltextrun"/>
    <w:basedOn w:val="Fuentedeprrafopredeter"/>
    <w:rsid w:val="005647D6"/>
  </w:style>
  <w:style w:type="table" w:customStyle="1" w:styleId="a0">
    <w:basedOn w:val="TableNormal1"/>
    <w:tblPr>
      <w:tblStyleRowBandSize w:val="1"/>
      <w:tblStyleColBandSize w:val="1"/>
    </w:tblPr>
  </w:style>
  <w:style w:type="character" w:styleId="nfasis">
    <w:name w:val="Emphasis"/>
    <w:basedOn w:val="Fuentedeprrafopredeter"/>
    <w:uiPriority w:val="20"/>
    <w:qFormat/>
    <w:rsid w:val="000D6301"/>
    <w:rPr>
      <w:i/>
      <w:iCs/>
    </w:rPr>
  </w:style>
  <w:style w:type="paragraph" w:styleId="Subttulo">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1">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K/xoKiMowMHeMZaSmYAa+ZoUe3w==">CgMxLjA4AHIhMXlLOEFfa2doOVBfbUFGTzNFTS1maWhzVEpTS2RISXJa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1515</Words>
  <Characters>7789</Characters>
  <Application>Microsoft Office Word</Application>
  <DocSecurity>0</DocSecurity>
  <Lines>141</Lines>
  <Paragraphs>25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9279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Microsoft Office User</cp:lastModifiedBy>
  <cp:revision>2</cp:revision>
  <dcterms:created xsi:type="dcterms:W3CDTF">2025-11-14T09:35:00Z</dcterms:created>
  <dcterms:modified xsi:type="dcterms:W3CDTF">2025-11-14T11:22:00Z</dcterms:modified>
  <cp:category/>
</cp:coreProperties>
</file>