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987AA" w14:textId="77777777" w:rsidR="00133A94" w:rsidRDefault="00133A94">
      <w:pPr>
        <w:spacing w:line="360" w:lineRule="auto"/>
        <w:rPr>
          <w:rFonts w:ascii="Verdana" w:eastAsia="Verdana" w:hAnsi="Verdana" w:cs="Verdana"/>
          <w:b/>
          <w:bCs/>
          <w:sz w:val="20"/>
          <w:szCs w:val="20"/>
          <w:highlight w:val="yellow"/>
        </w:rPr>
      </w:pPr>
    </w:p>
    <w:p w14:paraId="39464A38" w14:textId="77777777" w:rsidR="00133A94" w:rsidRDefault="00000000">
      <w:pPr>
        <w:spacing w:line="360" w:lineRule="auto"/>
        <w:jc w:val="center"/>
        <w:rPr>
          <w:rFonts w:ascii="Verdana" w:eastAsia="Verdana" w:hAnsi="Verdana" w:cs="Verdana"/>
          <w:b/>
          <w:bCs/>
        </w:rPr>
      </w:pPr>
      <w:r>
        <w:rPr>
          <w:rFonts w:ascii="Verdana" w:eastAsia="Verdana" w:hAnsi="Verdana" w:cs="Verdana"/>
          <w:b/>
          <w:bCs/>
        </w:rPr>
        <w:t>El ‘efecto Bad Bunny’ impulsa las reservas a Madrid y Barcelona con subidas de hasta el 250 %</w:t>
      </w:r>
    </w:p>
    <w:p w14:paraId="589A086E" w14:textId="77777777" w:rsidR="00133A94" w:rsidRDefault="00000000">
      <w:pPr>
        <w:spacing w:before="240" w:after="240" w:line="360" w:lineRule="auto"/>
        <w:jc w:val="both"/>
        <w:rPr>
          <w:rFonts w:ascii="Verdana" w:eastAsia="Verdana" w:hAnsi="Verdana" w:cs="Verdana"/>
          <w:sz w:val="20"/>
          <w:szCs w:val="20"/>
          <w:highlight w:val="white"/>
        </w:rPr>
      </w:pPr>
      <w:r>
        <w:rPr>
          <w:rFonts w:ascii="Verdana" w:eastAsia="Verdana" w:hAnsi="Verdana" w:cs="Verdana"/>
          <w:b/>
          <w:bCs/>
          <w:sz w:val="20"/>
          <w:szCs w:val="20"/>
          <w:highlight w:val="white"/>
        </w:rPr>
        <w:t xml:space="preserve">Barcelona, 4 de mayo de 2026: </w:t>
      </w:r>
      <w:r>
        <w:rPr>
          <w:rFonts w:ascii="Verdana" w:eastAsia="Verdana" w:hAnsi="Verdana" w:cs="Verdana"/>
          <w:sz w:val="20"/>
          <w:szCs w:val="20"/>
          <w:highlight w:val="white"/>
        </w:rPr>
        <w:t>Benito Antonio Martínez Ocasio, más conocido como Bad Bunny, no solo ha causado sensación en la industria musical. Kiwi.com, empresa líder en tecnología de viajes, ha detectado un aumento significativo en el interés por viajar a España coincidiendo con el anuncio de su gira mundial “</w:t>
      </w:r>
      <w:proofErr w:type="spellStart"/>
      <w:r>
        <w:rPr>
          <w:rFonts w:ascii="Verdana" w:eastAsia="Verdana" w:hAnsi="Verdana" w:cs="Verdana"/>
          <w:sz w:val="20"/>
          <w:szCs w:val="20"/>
          <w:highlight w:val="white"/>
        </w:rPr>
        <w:t>DeBÍ</w:t>
      </w:r>
      <w:proofErr w:type="spellEnd"/>
      <w:r>
        <w:rPr>
          <w:rFonts w:ascii="Verdana" w:eastAsia="Verdana" w:hAnsi="Verdana" w:cs="Verdana"/>
          <w:sz w:val="20"/>
          <w:szCs w:val="20"/>
          <w:highlight w:val="white"/>
        </w:rPr>
        <w:t xml:space="preserve"> </w:t>
      </w:r>
      <w:proofErr w:type="spellStart"/>
      <w:r>
        <w:rPr>
          <w:rFonts w:ascii="Verdana" w:eastAsia="Verdana" w:hAnsi="Verdana" w:cs="Verdana"/>
          <w:sz w:val="20"/>
          <w:szCs w:val="20"/>
          <w:highlight w:val="white"/>
        </w:rPr>
        <w:t>TiRAR</w:t>
      </w:r>
      <w:proofErr w:type="spellEnd"/>
      <w:r>
        <w:rPr>
          <w:rFonts w:ascii="Verdana" w:eastAsia="Verdana" w:hAnsi="Verdana" w:cs="Verdana"/>
          <w:sz w:val="20"/>
          <w:szCs w:val="20"/>
          <w:highlight w:val="white"/>
        </w:rPr>
        <w:t xml:space="preserve"> </w:t>
      </w:r>
      <w:proofErr w:type="spellStart"/>
      <w:r>
        <w:rPr>
          <w:rFonts w:ascii="Verdana" w:eastAsia="Verdana" w:hAnsi="Verdana" w:cs="Verdana"/>
          <w:sz w:val="20"/>
          <w:szCs w:val="20"/>
          <w:highlight w:val="white"/>
        </w:rPr>
        <w:t>MáS</w:t>
      </w:r>
      <w:proofErr w:type="spellEnd"/>
      <w:r>
        <w:rPr>
          <w:rFonts w:ascii="Verdana" w:eastAsia="Verdana" w:hAnsi="Verdana" w:cs="Verdana"/>
          <w:sz w:val="20"/>
          <w:szCs w:val="20"/>
          <w:highlight w:val="white"/>
        </w:rPr>
        <w:t xml:space="preserve"> </w:t>
      </w:r>
      <w:proofErr w:type="spellStart"/>
      <w:r>
        <w:rPr>
          <w:rFonts w:ascii="Verdana" w:eastAsia="Verdana" w:hAnsi="Verdana" w:cs="Verdana"/>
          <w:sz w:val="20"/>
          <w:szCs w:val="20"/>
          <w:highlight w:val="white"/>
        </w:rPr>
        <w:t>FOToS</w:t>
      </w:r>
      <w:proofErr w:type="spellEnd"/>
      <w:r>
        <w:rPr>
          <w:rFonts w:ascii="Verdana" w:eastAsia="Verdana" w:hAnsi="Verdana" w:cs="Verdana"/>
          <w:sz w:val="20"/>
          <w:szCs w:val="20"/>
          <w:highlight w:val="white"/>
        </w:rPr>
        <w:t>” a principios de mayo de 2025.</w:t>
      </w:r>
    </w:p>
    <w:p w14:paraId="284245BE" w14:textId="47406101" w:rsidR="00133A94" w:rsidRDefault="00000000">
      <w:pPr>
        <w:spacing w:before="240" w:after="240" w:line="360" w:lineRule="auto"/>
        <w:jc w:val="both"/>
        <w:rPr>
          <w:rFonts w:ascii="Verdana" w:eastAsia="Verdana" w:hAnsi="Verdana" w:cs="Verdana"/>
          <w:sz w:val="20"/>
          <w:szCs w:val="20"/>
          <w:highlight w:val="white"/>
        </w:rPr>
      </w:pPr>
      <w:r>
        <w:rPr>
          <w:rFonts w:ascii="Verdana" w:eastAsia="Verdana" w:hAnsi="Verdana" w:cs="Verdana"/>
          <w:sz w:val="20"/>
          <w:szCs w:val="20"/>
          <w:highlight w:val="white"/>
        </w:rPr>
        <w:t>La gira contempla dos conciertos en Barcelona, los días 22 y 23 de mayo de 2026</w:t>
      </w:r>
      <w:r w:rsidR="005402BB">
        <w:rPr>
          <w:rFonts w:ascii="Verdana" w:eastAsia="Verdana" w:hAnsi="Verdana" w:cs="Verdana"/>
          <w:sz w:val="20"/>
          <w:szCs w:val="20"/>
          <w:highlight w:val="white"/>
        </w:rPr>
        <w:t>,</w:t>
      </w:r>
      <w:r>
        <w:rPr>
          <w:rFonts w:ascii="Verdana" w:eastAsia="Verdana" w:hAnsi="Verdana" w:cs="Verdana"/>
          <w:sz w:val="20"/>
          <w:szCs w:val="20"/>
          <w:highlight w:val="white"/>
        </w:rPr>
        <w:t xml:space="preserve"> en el </w:t>
      </w:r>
      <w:proofErr w:type="spellStart"/>
      <w:r>
        <w:rPr>
          <w:rFonts w:ascii="Verdana" w:eastAsia="Verdana" w:hAnsi="Verdana" w:cs="Verdana"/>
          <w:sz w:val="20"/>
          <w:szCs w:val="20"/>
          <w:highlight w:val="white"/>
        </w:rPr>
        <w:t>Estadi</w:t>
      </w:r>
      <w:proofErr w:type="spellEnd"/>
      <w:r>
        <w:rPr>
          <w:rFonts w:ascii="Verdana" w:eastAsia="Verdana" w:hAnsi="Verdana" w:cs="Verdana"/>
          <w:sz w:val="20"/>
          <w:szCs w:val="20"/>
          <w:highlight w:val="white"/>
        </w:rPr>
        <w:t xml:space="preserve"> </w:t>
      </w:r>
      <w:proofErr w:type="spellStart"/>
      <w:r>
        <w:rPr>
          <w:rFonts w:ascii="Verdana" w:eastAsia="Verdana" w:hAnsi="Verdana" w:cs="Verdana"/>
          <w:sz w:val="20"/>
          <w:szCs w:val="20"/>
          <w:highlight w:val="white"/>
        </w:rPr>
        <w:t>Olímpic</w:t>
      </w:r>
      <w:proofErr w:type="spellEnd"/>
      <w:r>
        <w:rPr>
          <w:rFonts w:ascii="Verdana" w:eastAsia="Verdana" w:hAnsi="Verdana" w:cs="Verdana"/>
          <w:sz w:val="20"/>
          <w:szCs w:val="20"/>
          <w:highlight w:val="white"/>
        </w:rPr>
        <w:t xml:space="preserve"> Lluís Companys, así como una extensa residencia en Madrid en el Riyadh Air Metropolitano, con diez fechas repartidas entre el 30 y 31 de mayo y el 2, 3, 6, 7, 10, 11, 14 y 15 de junio de 2026. Este despliegue convierte a España en uno de los principales focos europeos de la gira.</w:t>
      </w:r>
    </w:p>
    <w:p w14:paraId="117A6570" w14:textId="77777777" w:rsidR="00133A94" w:rsidRDefault="00000000">
      <w:pPr>
        <w:spacing w:before="240" w:after="240" w:line="360" w:lineRule="auto"/>
        <w:jc w:val="both"/>
        <w:rPr>
          <w:rFonts w:ascii="Verdana" w:eastAsia="Verdana" w:hAnsi="Verdana" w:cs="Verdana"/>
          <w:sz w:val="20"/>
          <w:szCs w:val="20"/>
          <w:highlight w:val="white"/>
        </w:rPr>
      </w:pPr>
      <w:r>
        <w:rPr>
          <w:rFonts w:ascii="Verdana" w:eastAsia="Verdana" w:hAnsi="Verdana" w:cs="Verdana"/>
          <w:sz w:val="20"/>
          <w:szCs w:val="20"/>
          <w:highlight w:val="white"/>
        </w:rPr>
        <w:t>Los datos de Kiwi.com reflejan un impacto inmediato tras la apertura de la venta de entradas. Durante la semana del 5 al 11 de mayo de 2025, las búsquedas de vuelos experimentaron picos muy significativos en comparación con las semanas adyacentes. En concreto, las búsquedas para viajar a Barcelona entre el 21 y el 23 de mayo de 2026 aumentaron un 235,7 % respecto a la semana anterior y un 56 % frente a la posterior. En el caso de Madrid, para el periodo del 29 al 31 de mayo de 2026, el incremento fue del 248,9 % frente a la semana previa y del 60,6 % respecto a la siguiente, confirmando el fuerte interés por asistir al regreso del artista a los escenarios europeos.</w:t>
      </w:r>
    </w:p>
    <w:p w14:paraId="1F92443E" w14:textId="77777777" w:rsidR="00133A94" w:rsidRDefault="00000000">
      <w:pPr>
        <w:spacing w:before="240" w:after="240" w:line="360" w:lineRule="auto"/>
        <w:jc w:val="both"/>
        <w:rPr>
          <w:rFonts w:ascii="Verdana" w:eastAsia="Verdana" w:hAnsi="Verdana" w:cs="Verdana"/>
          <w:sz w:val="20"/>
          <w:szCs w:val="20"/>
          <w:highlight w:val="white"/>
        </w:rPr>
      </w:pPr>
      <w:r>
        <w:rPr>
          <w:rFonts w:ascii="Verdana" w:eastAsia="Verdana" w:hAnsi="Verdana" w:cs="Verdana"/>
          <w:sz w:val="20"/>
          <w:szCs w:val="20"/>
          <w:highlight w:val="white"/>
        </w:rPr>
        <w:t>Asimismo, también se detectó un crecimiento relevante en las búsquedas hacia Madrid para los días 1 al 3 de junio de 2026, con un aumento del 336,4 % frente a la semana anterior, aunque con menor volumen absoluto. Sin embargo, las fechas posteriores de junio no muestran un comportamiento destacable, lo que indica que el interés inicial se concentra principalmente en los primeros conciertos anunciados.</w:t>
      </w:r>
    </w:p>
    <w:p w14:paraId="4950CE19" w14:textId="77777777" w:rsidR="00133A94" w:rsidRDefault="00000000">
      <w:pPr>
        <w:spacing w:before="240" w:after="240" w:line="360" w:lineRule="auto"/>
        <w:jc w:val="both"/>
        <w:rPr>
          <w:rFonts w:ascii="Verdana" w:eastAsia="Verdana" w:hAnsi="Verdana" w:cs="Verdana"/>
          <w:sz w:val="20"/>
          <w:szCs w:val="20"/>
          <w:highlight w:val="white"/>
        </w:rPr>
      </w:pPr>
      <w:r>
        <w:rPr>
          <w:rFonts w:ascii="Verdana" w:eastAsia="Verdana" w:hAnsi="Verdana" w:cs="Verdana"/>
          <w:sz w:val="20"/>
          <w:szCs w:val="20"/>
          <w:highlight w:val="white"/>
        </w:rPr>
        <w:t xml:space="preserve">En términos de reservas, Kiwi.com observa incrementos notables en fechas clave. Los viajes hacia Barcelona el 21 y 22 de mayo de 2026 registran aumentos del 35,7 % y 31,7 % respectivamente en comparación con la media de los siete días anteriores y posteriores. En Madrid, el 29 de mayo de 2026 presenta un incremento del 23,6 % bajo el mismo análisis. Además, el análisis de la composición de la demanda muestra diferencias claras entre ambos destinos: en Barcelona, solo el 16,2 % de las reservas corresponden a </w:t>
      </w:r>
      <w:r>
        <w:rPr>
          <w:rFonts w:ascii="Verdana" w:eastAsia="Verdana" w:hAnsi="Verdana" w:cs="Verdana"/>
          <w:sz w:val="20"/>
          <w:szCs w:val="20"/>
          <w:highlight w:val="white"/>
        </w:rPr>
        <w:lastRenderedPageBreak/>
        <w:t>viajeros españoles, con un peso destacado de mercados europeos como Reino Unido (10,6 %), Italia (8,7 %) y Alemania (5,2 %), lo que confirma un fuerte tirón internacional, especialmente del norte y centro de Europa.</w:t>
      </w:r>
    </w:p>
    <w:p w14:paraId="3BFF6B2D" w14:textId="77777777" w:rsidR="00133A94" w:rsidRDefault="00000000">
      <w:pPr>
        <w:spacing w:before="240" w:after="240" w:line="360" w:lineRule="auto"/>
        <w:jc w:val="both"/>
        <w:rPr>
          <w:rFonts w:ascii="Verdana" w:eastAsia="Verdana" w:hAnsi="Verdana" w:cs="Verdana"/>
          <w:sz w:val="20"/>
          <w:szCs w:val="20"/>
          <w:highlight w:val="white"/>
        </w:rPr>
      </w:pPr>
      <w:r>
        <w:rPr>
          <w:rFonts w:ascii="Verdana" w:eastAsia="Verdana" w:hAnsi="Verdana" w:cs="Verdana"/>
          <w:sz w:val="20"/>
          <w:szCs w:val="20"/>
          <w:highlight w:val="white"/>
        </w:rPr>
        <w:t xml:space="preserve">Por el contrario, Madrid mantiene un perfil más equilibrado y cercano a su demanda habitual, con un 24 % de viajeros nacionales en el pico del 29 de mayo, aunque con un incremento significativo de mercados europeos como Italia (12,9 %) y Reino Unido (7,8 %). En comparación con periodos habituales de junio, donde Madrid registra una mayor presencia estructural de viajeros latinoamericanos, este repunte puntual está más impulsado por desplazamientos </w:t>
      </w:r>
      <w:proofErr w:type="spellStart"/>
      <w:r>
        <w:rPr>
          <w:rFonts w:ascii="Verdana" w:eastAsia="Verdana" w:hAnsi="Verdana" w:cs="Verdana"/>
          <w:sz w:val="20"/>
          <w:szCs w:val="20"/>
          <w:highlight w:val="white"/>
        </w:rPr>
        <w:t>intraeuropeos</w:t>
      </w:r>
      <w:proofErr w:type="spellEnd"/>
      <w:r>
        <w:rPr>
          <w:rFonts w:ascii="Verdana" w:eastAsia="Verdana" w:hAnsi="Verdana" w:cs="Verdana"/>
          <w:sz w:val="20"/>
          <w:szCs w:val="20"/>
          <w:highlight w:val="white"/>
        </w:rPr>
        <w:t xml:space="preserve"> vinculados al evento. Esta diferencia refuerza el papel de Madrid como </w:t>
      </w:r>
      <w:proofErr w:type="spellStart"/>
      <w:proofErr w:type="gramStart"/>
      <w:r>
        <w:rPr>
          <w:rFonts w:ascii="Verdana" w:eastAsia="Verdana" w:hAnsi="Verdana" w:cs="Verdana"/>
          <w:sz w:val="20"/>
          <w:szCs w:val="20"/>
          <w:highlight w:val="white"/>
        </w:rPr>
        <w:t>hub</w:t>
      </w:r>
      <w:proofErr w:type="spellEnd"/>
      <w:proofErr w:type="gramEnd"/>
      <w:r>
        <w:rPr>
          <w:rFonts w:ascii="Verdana" w:eastAsia="Verdana" w:hAnsi="Verdana" w:cs="Verdana"/>
          <w:sz w:val="20"/>
          <w:szCs w:val="20"/>
          <w:highlight w:val="white"/>
        </w:rPr>
        <w:t xml:space="preserve"> de conexión con Latinoamérica, frente a Barcelona, que se consolida como destino de ocio preferente para el turismo europeo.</w:t>
      </w:r>
    </w:p>
    <w:p w14:paraId="50BF6BDF" w14:textId="77777777" w:rsidR="00133A94" w:rsidRDefault="00000000">
      <w:pPr>
        <w:spacing w:before="240" w:after="240" w:line="360" w:lineRule="auto"/>
        <w:jc w:val="both"/>
        <w:rPr>
          <w:rFonts w:ascii="Verdana" w:eastAsia="Verdana" w:hAnsi="Verdana" w:cs="Verdana"/>
          <w:b/>
          <w:bCs/>
          <w:sz w:val="20"/>
          <w:szCs w:val="20"/>
          <w:highlight w:val="white"/>
        </w:rPr>
      </w:pPr>
      <w:r>
        <w:rPr>
          <w:rFonts w:ascii="Verdana" w:eastAsia="Verdana" w:hAnsi="Verdana" w:cs="Verdana"/>
          <w:sz w:val="20"/>
          <w:szCs w:val="20"/>
          <w:highlight w:val="white"/>
        </w:rPr>
        <w:t>Las cifras de Kiwi.com evidencian que el “</w:t>
      </w:r>
      <w:proofErr w:type="spellStart"/>
      <w:r>
        <w:rPr>
          <w:rFonts w:ascii="Verdana" w:eastAsia="Verdana" w:hAnsi="Verdana" w:cs="Verdana"/>
          <w:sz w:val="20"/>
          <w:szCs w:val="20"/>
          <w:highlight w:val="white"/>
        </w:rPr>
        <w:t>gig-tripping</w:t>
      </w:r>
      <w:proofErr w:type="spellEnd"/>
      <w:r>
        <w:rPr>
          <w:rFonts w:ascii="Verdana" w:eastAsia="Verdana" w:hAnsi="Verdana" w:cs="Verdana"/>
          <w:sz w:val="20"/>
          <w:szCs w:val="20"/>
          <w:highlight w:val="white"/>
        </w:rPr>
        <w:t>”, o turismo musical, se consolida como una de las principales tendencias de viaje, impulsada por grandes eventos que influyen cada vez más en la planificación de desplazamientos internacionales. En este contexto, la música no solo llena estadios, sino que también impulsa a miles de viajeros a cruzar fronteras y descubrir nuevos destinos.</w:t>
      </w:r>
    </w:p>
    <w:p w14:paraId="5A9A31A3" w14:textId="77777777" w:rsidR="00133A94" w:rsidRDefault="00000000">
      <w:pPr>
        <w:jc w:val="both"/>
        <w:rPr>
          <w:rFonts w:ascii="Verdana" w:eastAsia="Verdana" w:hAnsi="Verdana" w:cs="Verdana"/>
          <w:b/>
          <w:bCs/>
          <w:sz w:val="20"/>
          <w:szCs w:val="20"/>
        </w:rPr>
      </w:pPr>
      <w:r>
        <w:rPr>
          <w:rFonts w:ascii="Verdana" w:eastAsia="Verdana" w:hAnsi="Verdana" w:cs="Verdana"/>
          <w:b/>
          <w:bCs/>
          <w:sz w:val="20"/>
          <w:szCs w:val="20"/>
        </w:rPr>
        <w:t>Acerca de Kiwi.com</w:t>
      </w:r>
    </w:p>
    <w:p w14:paraId="686F1C12" w14:textId="77777777" w:rsidR="00133A94" w:rsidRDefault="00000000">
      <w:pPr>
        <w:jc w:val="both"/>
        <w:rPr>
          <w:rFonts w:ascii="Verdana" w:eastAsia="Verdana" w:hAnsi="Verdana" w:cs="Verdana"/>
          <w:sz w:val="20"/>
          <w:szCs w:val="20"/>
        </w:rPr>
      </w:pPr>
      <w:r>
        <w:rPr>
          <w:rFonts w:ascii="Verdana" w:eastAsia="Verdana" w:hAnsi="Verdana" w:cs="Verdana"/>
          <w:sz w:val="20"/>
          <w:szCs w:val="20"/>
        </w:rPr>
        <w:t>Kiwi.com es una empresa líder en tecnología de viajes y una agencia de viajes online que ayuda a los viajeros a encontrar las mejores ofertas de vuelos entre millones de rutas. Ofrece una combinación única de tarifas económicas y tranquilidad gracias a la Garantía Kiwi.com, que proporciona asistencia y protección cuando cambian los planes de viaje.</w:t>
      </w:r>
    </w:p>
    <w:p w14:paraId="0994C0EC" w14:textId="77777777" w:rsidR="00133A94" w:rsidRDefault="00133A94">
      <w:pPr>
        <w:spacing w:line="360" w:lineRule="auto"/>
        <w:jc w:val="both"/>
        <w:rPr>
          <w:rFonts w:ascii="Verdana" w:eastAsia="Verdana" w:hAnsi="Verdana" w:cs="Verdana"/>
          <w:sz w:val="20"/>
          <w:szCs w:val="20"/>
        </w:rPr>
      </w:pPr>
    </w:p>
    <w:p w14:paraId="2AB9E42B" w14:textId="77777777" w:rsidR="00133A94" w:rsidRDefault="00000000">
      <w:pPr>
        <w:jc w:val="both"/>
        <w:rPr>
          <w:rFonts w:ascii="Verdana" w:eastAsia="Verdana" w:hAnsi="Verdana" w:cs="Verdana"/>
          <w:b/>
          <w:bCs/>
          <w:sz w:val="20"/>
          <w:szCs w:val="20"/>
        </w:rPr>
      </w:pPr>
      <w:r>
        <w:rPr>
          <w:rFonts w:ascii="Verdana" w:eastAsia="Verdana" w:hAnsi="Verdana" w:cs="Verdana"/>
          <w:b/>
          <w:bCs/>
          <w:sz w:val="20"/>
          <w:szCs w:val="20"/>
        </w:rPr>
        <w:t>Contacto de prensa:</w:t>
      </w:r>
    </w:p>
    <w:p w14:paraId="38731592" w14:textId="77777777" w:rsidR="00133A94" w:rsidRDefault="00000000">
      <w:pPr>
        <w:jc w:val="both"/>
        <w:rPr>
          <w:rFonts w:ascii="Verdana" w:eastAsia="Verdana" w:hAnsi="Verdana" w:cs="Verdana"/>
          <w:sz w:val="20"/>
          <w:szCs w:val="20"/>
        </w:rPr>
      </w:pPr>
      <w:r>
        <w:rPr>
          <w:rFonts w:ascii="Verdana" w:eastAsia="Verdana" w:hAnsi="Verdana" w:cs="Verdana"/>
          <w:sz w:val="20"/>
          <w:szCs w:val="20"/>
        </w:rPr>
        <w:t>SERGAT, agencia de comunicación</w:t>
      </w:r>
    </w:p>
    <w:p w14:paraId="320F549C" w14:textId="77777777" w:rsidR="00133A94" w:rsidRDefault="00000000">
      <w:pPr>
        <w:jc w:val="both"/>
        <w:rPr>
          <w:rFonts w:ascii="Verdana" w:eastAsia="Verdana" w:hAnsi="Verdana" w:cs="Verdana"/>
          <w:color w:val="006699"/>
          <w:sz w:val="20"/>
          <w:szCs w:val="20"/>
        </w:rPr>
      </w:pPr>
      <w:hyperlink r:id="rId7">
        <w:r>
          <w:rPr>
            <w:rFonts w:ascii="Verdana" w:eastAsia="Verdana" w:hAnsi="Verdana" w:cs="Verdana"/>
            <w:color w:val="0000FF"/>
            <w:sz w:val="20"/>
            <w:szCs w:val="20"/>
            <w:u w:val="single"/>
          </w:rPr>
          <w:t>prensa@sergat.com</w:t>
        </w:r>
      </w:hyperlink>
      <w:r>
        <w:rPr>
          <w:rFonts w:ascii="Verdana" w:eastAsia="Verdana" w:hAnsi="Verdana" w:cs="Verdana"/>
          <w:color w:val="006699"/>
          <w:sz w:val="20"/>
          <w:szCs w:val="20"/>
        </w:rPr>
        <w:t xml:space="preserve">  </w:t>
      </w:r>
    </w:p>
    <w:p w14:paraId="112DC4F5" w14:textId="77777777" w:rsidR="00133A94" w:rsidRDefault="00133A94">
      <w:pPr>
        <w:spacing w:line="360" w:lineRule="auto"/>
        <w:jc w:val="both"/>
        <w:rPr>
          <w:rFonts w:ascii="Verdana" w:eastAsia="Verdana" w:hAnsi="Verdana" w:cs="Verdana"/>
          <w:sz w:val="20"/>
          <w:szCs w:val="20"/>
        </w:rPr>
      </w:pPr>
    </w:p>
    <w:p w14:paraId="23E9AE24" w14:textId="77777777" w:rsidR="00133A94" w:rsidRDefault="00133A94">
      <w:pPr>
        <w:spacing w:line="331" w:lineRule="auto"/>
        <w:jc w:val="both"/>
        <w:rPr>
          <w:rFonts w:ascii="Verdana" w:eastAsia="Verdana" w:hAnsi="Verdana" w:cs="Verdana"/>
          <w:sz w:val="20"/>
          <w:szCs w:val="20"/>
        </w:rPr>
      </w:pPr>
    </w:p>
    <w:sectPr w:rsidR="00133A94">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0A4A6" w14:textId="77777777" w:rsidR="00903441" w:rsidRDefault="00903441">
      <w:pPr>
        <w:spacing w:line="240" w:lineRule="auto"/>
      </w:pPr>
      <w:r>
        <w:separator/>
      </w:r>
    </w:p>
  </w:endnote>
  <w:endnote w:type="continuationSeparator" w:id="0">
    <w:p w14:paraId="3F82D753" w14:textId="77777777" w:rsidR="00903441" w:rsidRDefault="009034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6E88F582-19EF-9F4C-9CA7-08B730ECA602}"/>
    <w:embedItalic r:id="rId2" w:fontKey="{DB2466EC-6C6B-564C-9F0E-A64F26109C72}"/>
  </w:font>
  <w:font w:name="Times New Roman">
    <w:panose1 w:val="02020603050405020304"/>
    <w:charset w:val="00"/>
    <w:family w:val="roman"/>
    <w:pitch w:val="variable"/>
    <w:sig w:usb0="E0002EFF" w:usb1="C000785B" w:usb2="00000009" w:usb3="00000000" w:csb0="000001FF" w:csb1="00000000"/>
    <w:embedRegular r:id="rId3" w:fontKey="{41C0969F-05BA-E345-AF50-E7F5E9419083}"/>
  </w:font>
  <w:font w:name="Verdana">
    <w:panose1 w:val="020B0604030504040204"/>
    <w:charset w:val="00"/>
    <w:family w:val="swiss"/>
    <w:pitch w:val="variable"/>
    <w:sig w:usb0="A10006FF" w:usb1="4000205B" w:usb2="00000010" w:usb3="00000000" w:csb0="0000019F" w:csb1="00000000"/>
    <w:embedRegular r:id="rId4" w:fontKey="{94063FCB-DD8B-7B48-9A37-2BF0F103CA48}"/>
    <w:embedBold r:id="rId5" w:fontKey="{32BC890E-FBA8-6A4C-81B0-9BB1B5012B2C}"/>
  </w:font>
  <w:font w:name="Calibri">
    <w:panose1 w:val="020F0502020204030204"/>
    <w:charset w:val="00"/>
    <w:family w:val="modern"/>
    <w:pitch w:val="variable"/>
    <w:sig w:usb0="00000003" w:usb1="00000000" w:usb2="00000000" w:usb3="00000000" w:csb0="00000001" w:csb1="00000000"/>
    <w:embedRegular r:id="rId6" w:fontKey="{B8C393BB-26DE-DA4B-8E3A-96BE43103B36}"/>
  </w:font>
  <w:font w:name="Cambria">
    <w:panose1 w:val="02040503050406030204"/>
    <w:charset w:val="00"/>
    <w:family w:val="roman"/>
    <w:notTrueType/>
    <w:pitch w:val="default"/>
    <w:embedRegular r:id="rId7" w:fontKey="{E14BC587-2DEC-B348-ADB6-BFF8FF1E81C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3AB7C" w14:textId="77777777" w:rsidR="00903441" w:rsidRDefault="00903441">
      <w:pPr>
        <w:spacing w:line="240" w:lineRule="auto"/>
      </w:pPr>
      <w:r>
        <w:separator/>
      </w:r>
    </w:p>
  </w:footnote>
  <w:footnote w:type="continuationSeparator" w:id="0">
    <w:p w14:paraId="3CF1B1DA" w14:textId="77777777" w:rsidR="00903441" w:rsidRDefault="009034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8DF0" w14:textId="77777777" w:rsidR="00133A94" w:rsidRDefault="00000000">
    <w:r>
      <w:rPr>
        <w:noProof/>
      </w:rPr>
      <w:drawing>
        <wp:anchor distT="0" distB="0" distL="114300" distR="114300" simplePos="0" relativeHeight="251658240" behindDoc="0" locked="0" layoutInCell="1" hidden="0" allowOverlap="1" wp14:anchorId="01872373" wp14:editId="38679E63">
          <wp:simplePos x="0" y="0"/>
          <wp:positionH relativeFrom="column">
            <wp:posOffset>55</wp:posOffset>
          </wp:positionH>
          <wp:positionV relativeFrom="paragraph">
            <wp:posOffset>180975</wp:posOffset>
          </wp:positionV>
          <wp:extent cx="1381125" cy="681990"/>
          <wp:effectExtent l="0" t="0" r="0" b="0"/>
          <wp:wrapSquare wrapText="bothSides" distT="0" distB="0" distL="114300" distR="114300"/>
          <wp:docPr id="1" name="image2.png" descr="Logo-63"/>
          <wp:cNvGraphicFramePr/>
          <a:graphic xmlns:a="http://schemas.openxmlformats.org/drawingml/2006/main">
            <a:graphicData uri="http://schemas.openxmlformats.org/drawingml/2006/picture">
              <pic:pic xmlns:pic="http://schemas.openxmlformats.org/drawingml/2006/picture">
                <pic:nvPicPr>
                  <pic:cNvPr id="0" name="image2.png" descr="Logo-63"/>
                  <pic:cNvPicPr preferRelativeResize="0"/>
                </pic:nvPicPr>
                <pic:blipFill>
                  <a:blip r:embed="rId1"/>
                  <a:srcRect t="116" b="114"/>
                  <a:stretch>
                    <a:fillRect/>
                  </a:stretch>
                </pic:blipFill>
                <pic:spPr>
                  <a:xfrm>
                    <a:off x="0" y="0"/>
                    <a:ext cx="1381125" cy="681990"/>
                  </a:xfrm>
                  <a:prstGeom prst="rect">
                    <a:avLst/>
                  </a:prstGeom>
                  <a:ln/>
                </pic:spPr>
              </pic:pic>
            </a:graphicData>
          </a:graphic>
        </wp:anchor>
      </w:drawing>
    </w:r>
  </w:p>
  <w:p w14:paraId="39EA1258" w14:textId="77777777" w:rsidR="00133A94" w:rsidRDefault="00000000">
    <w:r>
      <w:rPr>
        <w:noProof/>
      </w:rPr>
      <w:drawing>
        <wp:anchor distT="114300" distB="114300" distL="114300" distR="114300" simplePos="0" relativeHeight="251659264" behindDoc="0" locked="0" layoutInCell="1" hidden="0" allowOverlap="1" wp14:anchorId="7A340ADD" wp14:editId="3991AFDB">
          <wp:simplePos x="0" y="0"/>
          <wp:positionH relativeFrom="column">
            <wp:posOffset>4339118</wp:posOffset>
          </wp:positionH>
          <wp:positionV relativeFrom="paragraph">
            <wp:posOffset>142236</wp:posOffset>
          </wp:positionV>
          <wp:extent cx="1381125" cy="427990"/>
          <wp:effectExtent l="0" t="0" r="0" b="0"/>
          <wp:wrapSquare wrapText="bothSides" distT="114300" distB="114300" distL="114300" distR="114300"/>
          <wp:docPr id="2" name="image1.png" descr="Texto,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 Logotipo&#10;&#10;Descripción generada automáticamente"/>
                  <pic:cNvPicPr preferRelativeResize="0"/>
                </pic:nvPicPr>
                <pic:blipFill>
                  <a:blip r:embed="rId2"/>
                  <a:srcRect/>
                  <a:stretch>
                    <a:fillRect/>
                  </a:stretch>
                </pic:blipFill>
                <pic:spPr>
                  <a:xfrm>
                    <a:off x="0" y="0"/>
                    <a:ext cx="1381125" cy="427990"/>
                  </a:xfrm>
                  <a:prstGeom prst="rect">
                    <a:avLst/>
                  </a:prstGeom>
                  <a:ln/>
                </pic:spPr>
              </pic:pic>
            </a:graphicData>
          </a:graphic>
        </wp:anchor>
      </w:drawing>
    </w:r>
  </w:p>
  <w:p w14:paraId="63CE91DC" w14:textId="77777777" w:rsidR="00133A94" w:rsidRDefault="00133A94"/>
  <w:p w14:paraId="06BE813D" w14:textId="77777777" w:rsidR="00133A94" w:rsidRDefault="00133A94"/>
  <w:p w14:paraId="5570AC3E" w14:textId="77777777" w:rsidR="00133A94" w:rsidRDefault="00133A94"/>
  <w:p w14:paraId="5E8CB15F" w14:textId="77777777" w:rsidR="00133A94" w:rsidRDefault="00133A9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A94"/>
    <w:rsid w:val="00133A94"/>
    <w:rsid w:val="005402BB"/>
    <w:rsid w:val="00903441"/>
    <w:rsid w:val="00A863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197042A"/>
  <w15:docId w15:val="{AA157480-8656-5F44-81EF-27728774B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X8kmabqgAKgv84ZvZmOcLcne6w==">CgMxLjA4AHIhMURGVkZOeDFYR0owZER4NmIzaUlpeUJ4Z1RjLVlvSEtq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697</Words>
  <Characters>3455</Characters>
  <Application>Microsoft Office Word</Application>
  <DocSecurity>0</DocSecurity>
  <Lines>58</Lines>
  <Paragraphs>13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4141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Microsoft Office User</cp:lastModifiedBy>
  <cp:revision>2</cp:revision>
  <dcterms:created xsi:type="dcterms:W3CDTF">2026-05-04T08:29:00Z</dcterms:created>
  <dcterms:modified xsi:type="dcterms:W3CDTF">2026-05-04T08:30:00Z</dcterms:modified>
  <cp:category/>
</cp:coreProperties>
</file>