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48E674" w14:textId="17CF3A11" w:rsidR="00977FE4" w:rsidRDefault="00977FE4" w:rsidP="00F13129">
      <w:pPr>
        <w:spacing w:before="240" w:after="240" w:line="360" w:lineRule="auto"/>
        <w:jc w:val="center"/>
      </w:pPr>
      <w:r>
        <w:rPr>
          <w:rFonts w:ascii="Verdana" w:eastAsia="Verdana" w:hAnsi="Verdana" w:cs="Verdana"/>
          <w:b/>
          <w:bCs/>
          <w:lang w:val="es-ES"/>
        </w:rPr>
        <w:t xml:space="preserve">Del Peloponeso a </w:t>
      </w:r>
      <w:r w:rsidR="00F9382D">
        <w:rPr>
          <w:rFonts w:ascii="Verdana" w:eastAsia="Verdana" w:hAnsi="Verdana" w:cs="Verdana"/>
          <w:b/>
          <w:bCs/>
          <w:lang w:val="es-ES"/>
        </w:rPr>
        <w:t xml:space="preserve">las arenas negras de </w:t>
      </w:r>
      <w:r>
        <w:rPr>
          <w:rFonts w:ascii="Verdana" w:eastAsia="Verdana" w:hAnsi="Verdana" w:cs="Verdana"/>
          <w:b/>
          <w:bCs/>
          <w:lang w:val="es-ES"/>
        </w:rPr>
        <w:t xml:space="preserve">Islandia: </w:t>
      </w:r>
      <w:r w:rsidR="00D32084">
        <w:rPr>
          <w:rFonts w:ascii="Verdana" w:eastAsia="Verdana" w:hAnsi="Verdana" w:cs="Verdana"/>
          <w:b/>
          <w:bCs/>
          <w:lang w:val="es-ES"/>
        </w:rPr>
        <w:t xml:space="preserve">el </w:t>
      </w:r>
      <w:r>
        <w:rPr>
          <w:rFonts w:ascii="Verdana" w:eastAsia="Verdana" w:hAnsi="Verdana" w:cs="Verdana"/>
          <w:b/>
          <w:bCs/>
          <w:lang w:val="es-ES"/>
        </w:rPr>
        <w:t xml:space="preserve">rodaje de </w:t>
      </w:r>
      <w:r w:rsidR="00D04C59">
        <w:rPr>
          <w:rFonts w:ascii="Verdana" w:eastAsia="Verdana" w:hAnsi="Verdana" w:cs="Verdana"/>
          <w:b/>
          <w:bCs/>
          <w:lang w:val="es-ES"/>
        </w:rPr>
        <w:t>‘</w:t>
      </w:r>
      <w:r>
        <w:rPr>
          <w:rFonts w:ascii="Verdana" w:eastAsia="Verdana" w:hAnsi="Verdana" w:cs="Verdana"/>
          <w:b/>
          <w:bCs/>
          <w:lang w:val="es-ES"/>
        </w:rPr>
        <w:t>La Odisea</w:t>
      </w:r>
      <w:r w:rsidR="00D04C59">
        <w:rPr>
          <w:rFonts w:ascii="Verdana" w:eastAsia="Verdana" w:hAnsi="Verdana" w:cs="Verdana"/>
          <w:b/>
          <w:bCs/>
          <w:lang w:val="es-ES"/>
        </w:rPr>
        <w:t>’</w:t>
      </w:r>
      <w:r>
        <w:rPr>
          <w:rFonts w:ascii="Verdana" w:eastAsia="Verdana" w:hAnsi="Verdana" w:cs="Verdana"/>
          <w:b/>
          <w:bCs/>
          <w:lang w:val="es-ES"/>
        </w:rPr>
        <w:t xml:space="preserve"> </w:t>
      </w:r>
      <w:r w:rsidR="00D04C59">
        <w:rPr>
          <w:rFonts w:ascii="Verdana" w:eastAsia="Verdana" w:hAnsi="Verdana" w:cs="Verdana"/>
          <w:b/>
          <w:bCs/>
          <w:lang w:val="es-ES"/>
        </w:rPr>
        <w:t>incrementa</w:t>
      </w:r>
      <w:r>
        <w:rPr>
          <w:rFonts w:ascii="Verdana" w:eastAsia="Verdana" w:hAnsi="Verdana" w:cs="Verdana"/>
          <w:b/>
          <w:bCs/>
          <w:lang w:val="es-ES"/>
        </w:rPr>
        <w:t xml:space="preserve"> las búsquedas de vuelos desde España</w:t>
      </w:r>
    </w:p>
    <w:p w14:paraId="40BDBAFF" w14:textId="77777777" w:rsidR="00977FE4" w:rsidRDefault="00977FE4" w:rsidP="00977FE4">
      <w:pPr>
        <w:spacing w:before="240" w:after="240" w:line="360" w:lineRule="auto"/>
        <w:jc w:val="center"/>
      </w:pPr>
      <w:r>
        <w:rPr>
          <w:rFonts w:ascii="Verdana" w:eastAsia="Verdana" w:hAnsi="Verdana" w:cs="Verdana"/>
          <w:i/>
          <w:iCs/>
          <w:sz w:val="20"/>
          <w:szCs w:val="20"/>
          <w:lang w:val="es-ES"/>
        </w:rPr>
        <w:t>Malta (+20,5 %) y Grecia (+20,1 %) encabezan el interés de los viajeros españoles en julio de 2026 frente al mismo mes del año anterior, según datos de Kiwi.com</w:t>
      </w:r>
    </w:p>
    <w:p w14:paraId="09F09CF4" w14:textId="7A1B1316" w:rsidR="00977FE4" w:rsidRDefault="00977FE4" w:rsidP="00977FE4">
      <w:pPr>
        <w:spacing w:before="240" w:after="240" w:line="360" w:lineRule="auto"/>
        <w:jc w:val="both"/>
      </w:pPr>
      <w:r>
        <w:rPr>
          <w:rFonts w:ascii="Verdana" w:eastAsia="Verdana" w:hAnsi="Verdana" w:cs="Verdana"/>
          <w:b/>
          <w:bCs/>
          <w:sz w:val="20"/>
          <w:szCs w:val="20"/>
          <w:lang w:val="es-ES"/>
        </w:rPr>
        <w:t>Barcelona, 2</w:t>
      </w:r>
      <w:r w:rsidR="00D04C59">
        <w:rPr>
          <w:rFonts w:ascii="Verdana" w:eastAsia="Verdana" w:hAnsi="Verdana" w:cs="Verdana"/>
          <w:b/>
          <w:bCs/>
          <w:sz w:val="20"/>
          <w:szCs w:val="20"/>
          <w:lang w:val="es-ES"/>
        </w:rPr>
        <w:t>9</w:t>
      </w:r>
      <w:r>
        <w:rPr>
          <w:rFonts w:ascii="Verdana" w:eastAsia="Verdana" w:hAnsi="Verdana" w:cs="Verdana"/>
          <w:b/>
          <w:bCs/>
          <w:sz w:val="20"/>
          <w:szCs w:val="20"/>
          <w:lang w:val="es-ES"/>
        </w:rPr>
        <w:t xml:space="preserve"> de julio de 2026:</w:t>
      </w:r>
      <w:r>
        <w:rPr>
          <w:rFonts w:ascii="Verdana" w:eastAsia="Verdana" w:hAnsi="Verdana" w:cs="Verdana"/>
          <w:sz w:val="20"/>
          <w:szCs w:val="20"/>
          <w:lang w:val="es-ES"/>
        </w:rPr>
        <w:t xml:space="preserve"> </w:t>
      </w:r>
      <w:r w:rsidR="00D04C59">
        <w:rPr>
          <w:rFonts w:ascii="Verdana" w:eastAsia="Verdana" w:hAnsi="Verdana" w:cs="Verdana"/>
          <w:sz w:val="20"/>
          <w:szCs w:val="20"/>
          <w:lang w:val="es-ES"/>
        </w:rPr>
        <w:t>‘</w:t>
      </w:r>
      <w:r>
        <w:rPr>
          <w:rFonts w:ascii="Verdana" w:eastAsia="Verdana" w:hAnsi="Verdana" w:cs="Verdana"/>
          <w:sz w:val="20"/>
          <w:szCs w:val="20"/>
          <w:lang w:val="es-ES"/>
        </w:rPr>
        <w:t>La Odisea</w:t>
      </w:r>
      <w:r w:rsidR="00D04C59">
        <w:rPr>
          <w:rFonts w:ascii="Verdana" w:eastAsia="Verdana" w:hAnsi="Verdana" w:cs="Verdana"/>
          <w:sz w:val="20"/>
          <w:szCs w:val="20"/>
          <w:lang w:val="es-ES"/>
        </w:rPr>
        <w:t>’</w:t>
      </w:r>
      <w:r>
        <w:rPr>
          <w:rFonts w:ascii="Verdana" w:eastAsia="Verdana" w:hAnsi="Verdana" w:cs="Verdana"/>
          <w:sz w:val="20"/>
          <w:szCs w:val="20"/>
          <w:lang w:val="es-ES"/>
        </w:rPr>
        <w:t xml:space="preserve"> de Christopher Nolan lleva dos fines de semana en cartel y ya ha recaudado 639,6 millones de dólares en todo el mundo, de los que 4,6 millones de euros corresponden a las salas españolas. </w:t>
      </w:r>
      <w:r w:rsidR="00D04C59">
        <w:rPr>
          <w:rFonts w:ascii="Verdana" w:eastAsia="Verdana" w:hAnsi="Verdana" w:cs="Verdana"/>
          <w:sz w:val="20"/>
          <w:szCs w:val="20"/>
          <w:lang w:val="es-ES"/>
        </w:rPr>
        <w:t>El éxito de l</w:t>
      </w:r>
      <w:r>
        <w:rPr>
          <w:rFonts w:ascii="Verdana" w:eastAsia="Verdana" w:hAnsi="Verdana" w:cs="Verdana"/>
          <w:sz w:val="20"/>
          <w:szCs w:val="20"/>
          <w:lang w:val="es-ES"/>
        </w:rPr>
        <w:t xml:space="preserve">a película también se está dejando notar en los buscadores de vuelos. Kiwi.com, empresa líder en tecnología de viajes, ha registrado un aumento de las búsquedas desde España hacia los seis países donde Nolan rodó su versión de </w:t>
      </w:r>
      <w:r w:rsidR="00D04C59">
        <w:rPr>
          <w:rFonts w:ascii="Verdana" w:eastAsia="Verdana" w:hAnsi="Verdana" w:cs="Verdana"/>
          <w:sz w:val="20"/>
          <w:szCs w:val="20"/>
          <w:lang w:val="es-ES"/>
        </w:rPr>
        <w:t xml:space="preserve">la epopeya de </w:t>
      </w:r>
      <w:r>
        <w:rPr>
          <w:rFonts w:ascii="Verdana" w:eastAsia="Verdana" w:hAnsi="Verdana" w:cs="Verdana"/>
          <w:sz w:val="20"/>
          <w:szCs w:val="20"/>
          <w:lang w:val="es-ES"/>
        </w:rPr>
        <w:t>Homero: Grecia, Italia, Malta, Marruecos, Islandia y Reino Unido.</w:t>
      </w:r>
    </w:p>
    <w:p w14:paraId="6EC1EFD0" w14:textId="7F96CE41" w:rsidR="00977FE4" w:rsidRDefault="00977FE4" w:rsidP="00977FE4">
      <w:pPr>
        <w:spacing w:before="240" w:after="240" w:line="360" w:lineRule="auto"/>
        <w:jc w:val="both"/>
      </w:pPr>
      <w:r>
        <w:rPr>
          <w:rFonts w:ascii="Verdana" w:eastAsia="Verdana" w:hAnsi="Verdana" w:cs="Verdana"/>
          <w:sz w:val="20"/>
          <w:szCs w:val="20"/>
          <w:lang w:val="es-ES"/>
        </w:rPr>
        <w:t xml:space="preserve">El fenómeno no es nuevo. La ruta de Jane Austen, los páramos de las hermanas Brontë, los castillos de Juego de Tronos o las </w:t>
      </w:r>
      <w:r w:rsidRPr="00D04C59">
        <w:rPr>
          <w:rFonts w:ascii="Verdana" w:eastAsia="Verdana" w:hAnsi="Verdana" w:cs="Verdana"/>
          <w:i/>
          <w:iCs/>
          <w:sz w:val="20"/>
          <w:szCs w:val="20"/>
          <w:lang w:val="es-ES"/>
        </w:rPr>
        <w:t>Highlands</w:t>
      </w:r>
      <w:r>
        <w:rPr>
          <w:rFonts w:ascii="Verdana" w:eastAsia="Verdana" w:hAnsi="Verdana" w:cs="Verdana"/>
          <w:sz w:val="20"/>
          <w:szCs w:val="20"/>
          <w:lang w:val="es-ES"/>
        </w:rPr>
        <w:t xml:space="preserve"> de </w:t>
      </w:r>
      <w:proofErr w:type="spellStart"/>
      <w:r>
        <w:rPr>
          <w:rFonts w:ascii="Verdana" w:eastAsia="Verdana" w:hAnsi="Verdana" w:cs="Verdana"/>
          <w:sz w:val="20"/>
          <w:szCs w:val="20"/>
          <w:lang w:val="es-ES"/>
        </w:rPr>
        <w:t>Outlander</w:t>
      </w:r>
      <w:proofErr w:type="spellEnd"/>
      <w:r>
        <w:rPr>
          <w:rFonts w:ascii="Verdana" w:eastAsia="Verdana" w:hAnsi="Verdana" w:cs="Verdana"/>
          <w:sz w:val="20"/>
          <w:szCs w:val="20"/>
          <w:lang w:val="es-ES"/>
        </w:rPr>
        <w:t xml:space="preserve"> llevan años empujando reservas hacia destinos que el espectador acaba de ver en pantalla</w:t>
      </w:r>
      <w:r w:rsidR="00D04C59">
        <w:rPr>
          <w:rFonts w:ascii="Verdana" w:eastAsia="Verdana" w:hAnsi="Verdana" w:cs="Verdana"/>
          <w:sz w:val="20"/>
          <w:szCs w:val="20"/>
          <w:lang w:val="es-ES"/>
        </w:rPr>
        <w:t xml:space="preserve"> o de leer en su novela favorita</w:t>
      </w:r>
      <w:r>
        <w:rPr>
          <w:rFonts w:ascii="Verdana" w:eastAsia="Verdana" w:hAnsi="Verdana" w:cs="Verdana"/>
          <w:sz w:val="20"/>
          <w:szCs w:val="20"/>
          <w:lang w:val="es-ES"/>
        </w:rPr>
        <w:t xml:space="preserve">. </w:t>
      </w:r>
    </w:p>
    <w:p w14:paraId="211A0117" w14:textId="04CD0F33" w:rsidR="00977FE4" w:rsidRDefault="00977FE4" w:rsidP="00977FE4">
      <w:pPr>
        <w:spacing w:before="240" w:after="240" w:line="360" w:lineRule="auto"/>
        <w:jc w:val="both"/>
      </w:pPr>
      <w:r w:rsidRPr="00977FE4">
        <w:rPr>
          <w:rFonts w:ascii="Verdana" w:eastAsia="Verdana" w:hAnsi="Verdana" w:cs="Verdana"/>
          <w:b/>
          <w:bCs/>
          <w:sz w:val="20"/>
          <w:szCs w:val="20"/>
          <w:lang w:val="es-ES"/>
        </w:rPr>
        <w:t xml:space="preserve">Malta </w:t>
      </w:r>
      <w:r>
        <w:rPr>
          <w:rFonts w:ascii="Verdana" w:eastAsia="Verdana" w:hAnsi="Verdana" w:cs="Verdana"/>
          <w:sz w:val="20"/>
          <w:szCs w:val="20"/>
          <w:lang w:val="es-ES"/>
        </w:rPr>
        <w:t xml:space="preserve">lidera el crecimiento con un 20,5 % más de búsquedas desde España. La isla no aparece como paisaje: los </w:t>
      </w:r>
      <w:proofErr w:type="spellStart"/>
      <w:r>
        <w:rPr>
          <w:rFonts w:ascii="Verdana" w:eastAsia="Verdana" w:hAnsi="Verdana" w:cs="Verdana"/>
          <w:sz w:val="20"/>
          <w:szCs w:val="20"/>
          <w:lang w:val="es-ES"/>
        </w:rPr>
        <w:t>Mediterranean</w:t>
      </w:r>
      <w:proofErr w:type="spellEnd"/>
      <w:r>
        <w:rPr>
          <w:rFonts w:ascii="Verdana" w:eastAsia="Verdana" w:hAnsi="Verdana" w:cs="Verdana"/>
          <w:sz w:val="20"/>
          <w:szCs w:val="20"/>
          <w:lang w:val="es-ES"/>
        </w:rPr>
        <w:t xml:space="preserve"> Film </w:t>
      </w:r>
      <w:proofErr w:type="spellStart"/>
      <w:r>
        <w:rPr>
          <w:rFonts w:ascii="Verdana" w:eastAsia="Verdana" w:hAnsi="Verdana" w:cs="Verdana"/>
          <w:sz w:val="20"/>
          <w:szCs w:val="20"/>
          <w:lang w:val="es-ES"/>
        </w:rPr>
        <w:t>Studios</w:t>
      </w:r>
      <w:proofErr w:type="spellEnd"/>
      <w:r>
        <w:rPr>
          <w:rFonts w:ascii="Verdana" w:eastAsia="Verdana" w:hAnsi="Verdana" w:cs="Verdana"/>
          <w:sz w:val="20"/>
          <w:szCs w:val="20"/>
          <w:lang w:val="es-ES"/>
        </w:rPr>
        <w:t xml:space="preserve"> de Kalkara, con algunos de los mayores tanques de agua del mundo, acogieron el rodaje submarino, los naufragios y los combates navales que Nolan filmó con efectos prácticos y cámaras IMAX adaptadas para la ocasión.</w:t>
      </w:r>
    </w:p>
    <w:p w14:paraId="7DA89303" w14:textId="4FBACB7F" w:rsidR="00977FE4" w:rsidRDefault="00977FE4" w:rsidP="00977FE4">
      <w:pPr>
        <w:spacing w:before="240" w:after="240" w:line="360" w:lineRule="auto"/>
        <w:jc w:val="both"/>
      </w:pPr>
      <w:r w:rsidRPr="00977FE4">
        <w:rPr>
          <w:rFonts w:ascii="Verdana" w:eastAsia="Verdana" w:hAnsi="Verdana" w:cs="Verdana"/>
          <w:b/>
          <w:bCs/>
          <w:sz w:val="20"/>
          <w:szCs w:val="20"/>
          <w:lang w:val="es-ES"/>
        </w:rPr>
        <w:t xml:space="preserve">Grecia </w:t>
      </w:r>
      <w:r>
        <w:rPr>
          <w:rFonts w:ascii="Verdana" w:eastAsia="Verdana" w:hAnsi="Verdana" w:cs="Verdana"/>
          <w:sz w:val="20"/>
          <w:szCs w:val="20"/>
          <w:lang w:val="es-ES"/>
        </w:rPr>
        <w:t>va inmediatamente detrás, con un 20,1 %. Casi tod</w:t>
      </w:r>
      <w:r w:rsidR="00D04C59">
        <w:rPr>
          <w:rFonts w:ascii="Verdana" w:eastAsia="Verdana" w:hAnsi="Verdana" w:cs="Verdana"/>
          <w:sz w:val="20"/>
          <w:szCs w:val="20"/>
          <w:lang w:val="es-ES"/>
        </w:rPr>
        <w:t xml:space="preserve">a </w:t>
      </w:r>
      <w:proofErr w:type="spellStart"/>
      <w:r w:rsidR="00D04C59">
        <w:rPr>
          <w:rFonts w:ascii="Verdana" w:eastAsia="Verdana" w:hAnsi="Verdana" w:cs="Verdana"/>
          <w:sz w:val="20"/>
          <w:szCs w:val="20"/>
          <w:lang w:val="es-ES"/>
        </w:rPr>
        <w:t>pa</w:t>
      </w:r>
      <w:proofErr w:type="spellEnd"/>
      <w:r w:rsidR="00D04C59">
        <w:rPr>
          <w:rFonts w:ascii="Verdana" w:eastAsia="Verdana" w:hAnsi="Verdana" w:cs="Verdana"/>
          <w:sz w:val="20"/>
          <w:szCs w:val="20"/>
          <w:lang w:val="es-ES"/>
        </w:rPr>
        <w:t xml:space="preserve"> </w:t>
      </w:r>
      <w:proofErr w:type="spellStart"/>
      <w:r w:rsidR="00D04C59">
        <w:rPr>
          <w:rFonts w:ascii="Verdana" w:eastAsia="Verdana" w:hAnsi="Verdana" w:cs="Verdana"/>
          <w:sz w:val="20"/>
          <w:szCs w:val="20"/>
          <w:lang w:val="es-ES"/>
        </w:rPr>
        <w:t>fimación</w:t>
      </w:r>
      <w:proofErr w:type="spellEnd"/>
      <w:r w:rsidR="00D04C59">
        <w:rPr>
          <w:rFonts w:ascii="Verdana" w:eastAsia="Verdana" w:hAnsi="Verdana" w:cs="Verdana"/>
          <w:sz w:val="20"/>
          <w:szCs w:val="20"/>
          <w:lang w:val="es-ES"/>
        </w:rPr>
        <w:t xml:space="preserve"> en Grecia tiene lugar </w:t>
      </w:r>
      <w:r>
        <w:rPr>
          <w:rFonts w:ascii="Verdana" w:eastAsia="Verdana" w:hAnsi="Verdana" w:cs="Verdana"/>
          <w:sz w:val="20"/>
          <w:szCs w:val="20"/>
          <w:lang w:val="es-ES"/>
        </w:rPr>
        <w:t xml:space="preserve">en el Peloponeso. La playa de </w:t>
      </w:r>
      <w:proofErr w:type="spellStart"/>
      <w:r>
        <w:rPr>
          <w:rFonts w:ascii="Verdana" w:eastAsia="Verdana" w:hAnsi="Verdana" w:cs="Verdana"/>
          <w:sz w:val="20"/>
          <w:szCs w:val="20"/>
          <w:lang w:val="es-ES"/>
        </w:rPr>
        <w:t>Voidokilia</w:t>
      </w:r>
      <w:proofErr w:type="spellEnd"/>
      <w:r>
        <w:rPr>
          <w:rFonts w:ascii="Verdana" w:eastAsia="Verdana" w:hAnsi="Verdana" w:cs="Verdana"/>
          <w:sz w:val="20"/>
          <w:szCs w:val="20"/>
          <w:lang w:val="es-ES"/>
        </w:rPr>
        <w:t>, en Mesenia, es la isla de los Cíclopes, y la cueva contigua, la Cueva de Néstor, es la guarida de Polifemo, filmada dentro de la cavidad rea</w:t>
      </w:r>
      <w:r w:rsidR="00D04C59">
        <w:rPr>
          <w:rFonts w:ascii="Verdana" w:eastAsia="Verdana" w:hAnsi="Verdana" w:cs="Verdana"/>
          <w:sz w:val="20"/>
          <w:szCs w:val="20"/>
          <w:lang w:val="es-ES"/>
        </w:rPr>
        <w:t>l</w:t>
      </w:r>
      <w:r>
        <w:rPr>
          <w:rFonts w:ascii="Verdana" w:eastAsia="Verdana" w:hAnsi="Verdana" w:cs="Verdana"/>
          <w:sz w:val="20"/>
          <w:szCs w:val="20"/>
          <w:lang w:val="es-ES"/>
        </w:rPr>
        <w:t xml:space="preserve">. Al sur, la torre octogonal del castillo de </w:t>
      </w:r>
      <w:proofErr w:type="spellStart"/>
      <w:r>
        <w:rPr>
          <w:rFonts w:ascii="Verdana" w:eastAsia="Verdana" w:hAnsi="Verdana" w:cs="Verdana"/>
          <w:sz w:val="20"/>
          <w:szCs w:val="20"/>
          <w:lang w:val="es-ES"/>
        </w:rPr>
        <w:t>Methoni</w:t>
      </w:r>
      <w:proofErr w:type="spellEnd"/>
      <w:r>
        <w:rPr>
          <w:rFonts w:ascii="Verdana" w:eastAsia="Verdana" w:hAnsi="Verdana" w:cs="Verdana"/>
          <w:sz w:val="20"/>
          <w:szCs w:val="20"/>
          <w:lang w:val="es-ES"/>
        </w:rPr>
        <w:t xml:space="preserve"> hace </w:t>
      </w:r>
      <w:r w:rsidR="00D04C59">
        <w:rPr>
          <w:rFonts w:ascii="Verdana" w:eastAsia="Verdana" w:hAnsi="Verdana" w:cs="Verdana"/>
          <w:sz w:val="20"/>
          <w:szCs w:val="20"/>
          <w:lang w:val="es-ES"/>
        </w:rPr>
        <w:t>las veces del</w:t>
      </w:r>
      <w:r>
        <w:rPr>
          <w:rFonts w:ascii="Verdana" w:eastAsia="Verdana" w:hAnsi="Verdana" w:cs="Verdana"/>
          <w:sz w:val="20"/>
          <w:szCs w:val="20"/>
          <w:lang w:val="es-ES"/>
        </w:rPr>
        <w:t xml:space="preserve"> palacio de Menelao, adonde Telémaco viaja a buscar noticias de su padre. Y a unos 190 kilómetros al noreste, la fortaleza de </w:t>
      </w:r>
      <w:proofErr w:type="spellStart"/>
      <w:r>
        <w:rPr>
          <w:rFonts w:ascii="Verdana" w:eastAsia="Verdana" w:hAnsi="Verdana" w:cs="Verdana"/>
          <w:sz w:val="20"/>
          <w:szCs w:val="20"/>
          <w:lang w:val="es-ES"/>
        </w:rPr>
        <w:t>Acrocorinto</w:t>
      </w:r>
      <w:proofErr w:type="spellEnd"/>
      <w:r>
        <w:rPr>
          <w:rFonts w:ascii="Verdana" w:eastAsia="Verdana" w:hAnsi="Verdana" w:cs="Verdana"/>
          <w:sz w:val="20"/>
          <w:szCs w:val="20"/>
          <w:lang w:val="es-ES"/>
        </w:rPr>
        <w:t xml:space="preserve"> sirve de Micenas para el regreso de Agamenón.</w:t>
      </w:r>
    </w:p>
    <w:p w14:paraId="471CDB1E" w14:textId="77777777" w:rsidR="00977FE4" w:rsidRDefault="00977FE4" w:rsidP="00977FE4">
      <w:pPr>
        <w:spacing w:before="240" w:after="240" w:line="360" w:lineRule="auto"/>
        <w:jc w:val="both"/>
      </w:pPr>
      <w:r w:rsidRPr="00977FE4">
        <w:rPr>
          <w:rFonts w:ascii="Verdana" w:eastAsia="Verdana" w:hAnsi="Verdana" w:cs="Verdana"/>
          <w:b/>
          <w:bCs/>
          <w:sz w:val="20"/>
          <w:szCs w:val="20"/>
          <w:lang w:val="es-ES"/>
        </w:rPr>
        <w:t xml:space="preserve">Italia </w:t>
      </w:r>
      <w:r>
        <w:rPr>
          <w:rFonts w:ascii="Verdana" w:eastAsia="Verdana" w:hAnsi="Verdana" w:cs="Verdana"/>
          <w:sz w:val="20"/>
          <w:szCs w:val="20"/>
          <w:lang w:val="es-ES"/>
        </w:rPr>
        <w:t xml:space="preserve">suma un 15,4 % y concentra sus escenarios en Sicilia. El palacio de Ítaca, donde Penélope teje y desteje, es el Castello di Santa Caterina de </w:t>
      </w:r>
      <w:proofErr w:type="spellStart"/>
      <w:r>
        <w:rPr>
          <w:rFonts w:ascii="Verdana" w:eastAsia="Verdana" w:hAnsi="Verdana" w:cs="Verdana"/>
          <w:sz w:val="20"/>
          <w:szCs w:val="20"/>
          <w:lang w:val="es-ES"/>
        </w:rPr>
        <w:t>Favignana</w:t>
      </w:r>
      <w:proofErr w:type="spellEnd"/>
      <w:r>
        <w:rPr>
          <w:rFonts w:ascii="Verdana" w:eastAsia="Verdana" w:hAnsi="Verdana" w:cs="Verdana"/>
          <w:sz w:val="20"/>
          <w:szCs w:val="20"/>
          <w:lang w:val="es-ES"/>
        </w:rPr>
        <w:t xml:space="preserve">, en las Egadas, un castillo abandonado al que el equipo subía cada día a pie por una pendiente rocosa. Las Eolias ponen el resto del viaje: los </w:t>
      </w:r>
      <w:proofErr w:type="spellStart"/>
      <w:r>
        <w:rPr>
          <w:rFonts w:ascii="Verdana" w:eastAsia="Verdana" w:hAnsi="Verdana" w:cs="Verdana"/>
          <w:sz w:val="20"/>
          <w:szCs w:val="20"/>
          <w:lang w:val="es-ES"/>
        </w:rPr>
        <w:t>faraglioni</w:t>
      </w:r>
      <w:proofErr w:type="spellEnd"/>
      <w:r>
        <w:rPr>
          <w:rFonts w:ascii="Verdana" w:eastAsia="Verdana" w:hAnsi="Verdana" w:cs="Verdana"/>
          <w:sz w:val="20"/>
          <w:szCs w:val="20"/>
          <w:lang w:val="es-ES"/>
        </w:rPr>
        <w:t xml:space="preserve"> de Lipari son las Rocas Errantes, las aguas </w:t>
      </w:r>
      <w:r>
        <w:rPr>
          <w:rFonts w:ascii="Verdana" w:eastAsia="Verdana" w:hAnsi="Verdana" w:cs="Verdana"/>
          <w:sz w:val="20"/>
          <w:szCs w:val="20"/>
          <w:lang w:val="es-ES"/>
        </w:rPr>
        <w:lastRenderedPageBreak/>
        <w:t xml:space="preserve">del bajo de Pietra del </w:t>
      </w:r>
      <w:proofErr w:type="spellStart"/>
      <w:r>
        <w:rPr>
          <w:rFonts w:ascii="Verdana" w:eastAsia="Verdana" w:hAnsi="Verdana" w:cs="Verdana"/>
          <w:sz w:val="20"/>
          <w:szCs w:val="20"/>
          <w:lang w:val="es-ES"/>
        </w:rPr>
        <w:t>Bagno</w:t>
      </w:r>
      <w:proofErr w:type="spellEnd"/>
      <w:r>
        <w:rPr>
          <w:rFonts w:ascii="Verdana" w:eastAsia="Verdana" w:hAnsi="Verdana" w:cs="Verdana"/>
          <w:sz w:val="20"/>
          <w:szCs w:val="20"/>
          <w:lang w:val="es-ES"/>
        </w:rPr>
        <w:t xml:space="preserve"> acogen el episodio de las sirenas y el canal junto al islote de </w:t>
      </w:r>
      <w:proofErr w:type="spellStart"/>
      <w:r>
        <w:rPr>
          <w:rFonts w:ascii="Verdana" w:eastAsia="Verdana" w:hAnsi="Verdana" w:cs="Verdana"/>
          <w:sz w:val="20"/>
          <w:szCs w:val="20"/>
          <w:lang w:val="es-ES"/>
        </w:rPr>
        <w:t>Basiluzzo</w:t>
      </w:r>
      <w:proofErr w:type="spellEnd"/>
      <w:r>
        <w:rPr>
          <w:rFonts w:ascii="Verdana" w:eastAsia="Verdana" w:hAnsi="Verdana" w:cs="Verdana"/>
          <w:sz w:val="20"/>
          <w:szCs w:val="20"/>
          <w:lang w:val="es-ES"/>
        </w:rPr>
        <w:t xml:space="preserve"> hace de paso entre Escila y Caribdis.</w:t>
      </w:r>
    </w:p>
    <w:p w14:paraId="390EDFA5" w14:textId="77777777" w:rsidR="00977FE4" w:rsidRDefault="00977FE4" w:rsidP="00977FE4">
      <w:pPr>
        <w:spacing w:before="240" w:after="240" w:line="360" w:lineRule="auto"/>
        <w:jc w:val="both"/>
      </w:pPr>
      <w:r w:rsidRPr="00977FE4">
        <w:rPr>
          <w:rFonts w:ascii="Verdana" w:eastAsia="Verdana" w:hAnsi="Verdana" w:cs="Verdana"/>
          <w:b/>
          <w:bCs/>
          <w:sz w:val="20"/>
          <w:szCs w:val="20"/>
          <w:lang w:val="es-ES"/>
        </w:rPr>
        <w:t>Marruecos</w:t>
      </w:r>
      <w:r>
        <w:rPr>
          <w:rFonts w:ascii="Verdana" w:eastAsia="Verdana" w:hAnsi="Verdana" w:cs="Verdana"/>
          <w:sz w:val="20"/>
          <w:szCs w:val="20"/>
          <w:lang w:val="es-ES"/>
        </w:rPr>
        <w:t xml:space="preserve"> crece un 15,2 % y aporta la Troya de la película. La playa de </w:t>
      </w:r>
      <w:proofErr w:type="spellStart"/>
      <w:r>
        <w:rPr>
          <w:rFonts w:ascii="Verdana" w:eastAsia="Verdana" w:hAnsi="Verdana" w:cs="Verdana"/>
          <w:sz w:val="20"/>
          <w:szCs w:val="20"/>
          <w:lang w:val="es-ES"/>
        </w:rPr>
        <w:t>Essaouira</w:t>
      </w:r>
      <w:proofErr w:type="spellEnd"/>
      <w:r>
        <w:rPr>
          <w:rFonts w:ascii="Verdana" w:eastAsia="Verdana" w:hAnsi="Verdana" w:cs="Verdana"/>
          <w:sz w:val="20"/>
          <w:szCs w:val="20"/>
          <w:lang w:val="es-ES"/>
        </w:rPr>
        <w:t xml:space="preserve"> es donde los troyanos recogen el caballo de madera, reinterpretado aquí como una ofrenda a Poseidón varada en la arena. La ciudad en sí es el </w:t>
      </w:r>
      <w:proofErr w:type="spellStart"/>
      <w:r>
        <w:rPr>
          <w:rFonts w:ascii="Verdana" w:eastAsia="Verdana" w:hAnsi="Verdana" w:cs="Verdana"/>
          <w:sz w:val="20"/>
          <w:szCs w:val="20"/>
          <w:lang w:val="es-ES"/>
        </w:rPr>
        <w:t>ksar</w:t>
      </w:r>
      <w:proofErr w:type="spellEnd"/>
      <w:r>
        <w:rPr>
          <w:rFonts w:ascii="Verdana" w:eastAsia="Verdana" w:hAnsi="Verdana" w:cs="Verdana"/>
          <w:sz w:val="20"/>
          <w:szCs w:val="20"/>
          <w:lang w:val="es-ES"/>
        </w:rPr>
        <w:t xml:space="preserve"> de Aït Ben Haddou, patrimonio mundial de la UNESCO cerca de </w:t>
      </w:r>
      <w:proofErr w:type="spellStart"/>
      <w:r>
        <w:rPr>
          <w:rFonts w:ascii="Verdana" w:eastAsia="Verdana" w:hAnsi="Verdana" w:cs="Verdana"/>
          <w:sz w:val="20"/>
          <w:szCs w:val="20"/>
          <w:lang w:val="es-ES"/>
        </w:rPr>
        <w:t>Ouarzazate</w:t>
      </w:r>
      <w:proofErr w:type="spellEnd"/>
      <w:r>
        <w:rPr>
          <w:rFonts w:ascii="Verdana" w:eastAsia="Verdana" w:hAnsi="Verdana" w:cs="Verdana"/>
          <w:sz w:val="20"/>
          <w:szCs w:val="20"/>
          <w:lang w:val="es-ES"/>
        </w:rPr>
        <w:t>, donde la producción levantó unas sesenta estructuras temporales, entre ellas un templo de Atenea, sobre una hectárea de terreno.</w:t>
      </w:r>
    </w:p>
    <w:p w14:paraId="0AA69D4E" w14:textId="29E30F68" w:rsidR="00977FE4" w:rsidRDefault="00977FE4" w:rsidP="00977FE4">
      <w:pPr>
        <w:spacing w:before="240" w:after="240" w:line="360" w:lineRule="auto"/>
        <w:jc w:val="both"/>
      </w:pPr>
      <w:r w:rsidRPr="00977FE4">
        <w:rPr>
          <w:rFonts w:ascii="Verdana" w:eastAsia="Verdana" w:hAnsi="Verdana" w:cs="Verdana"/>
          <w:b/>
          <w:bCs/>
          <w:sz w:val="20"/>
          <w:szCs w:val="20"/>
          <w:lang w:val="es-ES"/>
        </w:rPr>
        <w:t>Islandia</w:t>
      </w:r>
      <w:r>
        <w:rPr>
          <w:rFonts w:ascii="Verdana" w:eastAsia="Verdana" w:hAnsi="Verdana" w:cs="Verdana"/>
          <w:sz w:val="20"/>
          <w:szCs w:val="20"/>
          <w:lang w:val="es-ES"/>
        </w:rPr>
        <w:t xml:space="preserve"> registra un aumento más contenido, del 3,7 %, aunque su escenario es de los que se recuerdan. El Hades se rodó en las arenas negras de </w:t>
      </w:r>
      <w:proofErr w:type="spellStart"/>
      <w:r>
        <w:rPr>
          <w:rFonts w:ascii="Verdana" w:eastAsia="Verdana" w:hAnsi="Verdana" w:cs="Verdana"/>
          <w:sz w:val="20"/>
          <w:szCs w:val="20"/>
          <w:lang w:val="es-ES"/>
        </w:rPr>
        <w:t>Hjörleifshöfði</w:t>
      </w:r>
      <w:proofErr w:type="spellEnd"/>
      <w:r>
        <w:rPr>
          <w:rFonts w:ascii="Verdana" w:eastAsia="Verdana" w:hAnsi="Verdana" w:cs="Verdana"/>
          <w:sz w:val="20"/>
          <w:szCs w:val="20"/>
          <w:lang w:val="es-ES"/>
        </w:rPr>
        <w:t xml:space="preserve">, un promontorio aislado al este de </w:t>
      </w:r>
      <w:proofErr w:type="spellStart"/>
      <w:r>
        <w:rPr>
          <w:rFonts w:ascii="Verdana" w:eastAsia="Verdana" w:hAnsi="Verdana" w:cs="Verdana"/>
          <w:sz w:val="20"/>
          <w:szCs w:val="20"/>
          <w:lang w:val="es-ES"/>
        </w:rPr>
        <w:t>Vík</w:t>
      </w:r>
      <w:proofErr w:type="spellEnd"/>
      <w:r>
        <w:rPr>
          <w:rFonts w:ascii="Verdana" w:eastAsia="Verdana" w:hAnsi="Verdana" w:cs="Verdana"/>
          <w:sz w:val="20"/>
          <w:szCs w:val="20"/>
          <w:lang w:val="es-ES"/>
        </w:rPr>
        <w:t>, en pleno sol de medianoche de junio.</w:t>
      </w:r>
    </w:p>
    <w:p w14:paraId="34ED5D14" w14:textId="5E6777D1" w:rsidR="00977FE4" w:rsidRDefault="00977FE4" w:rsidP="00977FE4">
      <w:pPr>
        <w:spacing w:before="240" w:after="240" w:line="360" w:lineRule="auto"/>
        <w:jc w:val="both"/>
      </w:pPr>
      <w:r>
        <w:rPr>
          <w:rFonts w:ascii="Verdana" w:eastAsia="Verdana" w:hAnsi="Verdana" w:cs="Verdana"/>
          <w:sz w:val="20"/>
          <w:szCs w:val="20"/>
          <w:lang w:val="es-ES"/>
        </w:rPr>
        <w:t xml:space="preserve">El caso de </w:t>
      </w:r>
      <w:r w:rsidRPr="00977FE4">
        <w:rPr>
          <w:rFonts w:ascii="Verdana" w:eastAsia="Verdana" w:hAnsi="Verdana" w:cs="Verdana"/>
          <w:b/>
          <w:bCs/>
          <w:sz w:val="20"/>
          <w:szCs w:val="20"/>
          <w:lang w:val="es-ES"/>
        </w:rPr>
        <w:t>Reino Unido</w:t>
      </w:r>
      <w:r>
        <w:rPr>
          <w:rFonts w:ascii="Verdana" w:eastAsia="Verdana" w:hAnsi="Verdana" w:cs="Verdana"/>
          <w:sz w:val="20"/>
          <w:szCs w:val="20"/>
          <w:lang w:val="es-ES"/>
        </w:rPr>
        <w:t xml:space="preserve"> merece una lectura aparte. El conjunto del país crece un 16,1 %, pero cuando se aíslan los aeropuertos escoceses la subida llega al 204,9 %: Escocia acoge estos días los Commonwealth Games y arranca en agosto el Festival de Edimburgo, dos motores de demanda mucho más potentes que un estreno de cine. Dicho esto, quien viaje al norte tiene los escenarios a mano. El bosque de </w:t>
      </w:r>
      <w:proofErr w:type="spellStart"/>
      <w:r>
        <w:rPr>
          <w:rFonts w:ascii="Verdana" w:eastAsia="Verdana" w:hAnsi="Verdana" w:cs="Verdana"/>
          <w:sz w:val="20"/>
          <w:szCs w:val="20"/>
          <w:lang w:val="es-ES"/>
        </w:rPr>
        <w:t>Culbin</w:t>
      </w:r>
      <w:proofErr w:type="spellEnd"/>
      <w:r>
        <w:rPr>
          <w:rFonts w:ascii="Verdana" w:eastAsia="Verdana" w:hAnsi="Verdana" w:cs="Verdana"/>
          <w:sz w:val="20"/>
          <w:szCs w:val="20"/>
          <w:lang w:val="es-ES"/>
        </w:rPr>
        <w:t>, en la costa del Moray Firth, es donde la tripulación se topa con los gigantes lestrigones, y la casa de Circe se construyó junto a las ruinas del castillo de Findlater, sobre los acantilados al este de Cullen.</w:t>
      </w:r>
    </w:p>
    <w:p w14:paraId="76C23B63" w14:textId="60BD1A26" w:rsidR="00977FE4" w:rsidRPr="00DC6B90" w:rsidRDefault="00977FE4" w:rsidP="00977FE4">
      <w:pPr>
        <w:spacing w:before="240" w:after="240" w:line="360" w:lineRule="auto"/>
        <w:jc w:val="both"/>
        <w:rPr>
          <w:rFonts w:ascii="Verdana" w:eastAsia="Verdana" w:hAnsi="Verdana" w:cs="Verdana"/>
          <w:sz w:val="20"/>
          <w:szCs w:val="20"/>
          <w:lang w:val="es-ES"/>
        </w:rPr>
      </w:pPr>
      <w:r>
        <w:rPr>
          <w:rFonts w:ascii="Verdana" w:eastAsia="Verdana" w:hAnsi="Verdana" w:cs="Verdana"/>
          <w:sz w:val="20"/>
          <w:szCs w:val="20"/>
          <w:lang w:val="es-ES"/>
        </w:rPr>
        <w:t xml:space="preserve">Ninguno de estos seis destinos es un descubrimiento. Grecia, Italia y Marruecos ya estaban entre los favoritos del viajero español mucho antes de que Nolan encendiera una cámara. Lo que cambia es el punto exacto del mapa: no Sicilia, sino </w:t>
      </w:r>
      <w:proofErr w:type="spellStart"/>
      <w:r>
        <w:rPr>
          <w:rFonts w:ascii="Verdana" w:eastAsia="Verdana" w:hAnsi="Verdana" w:cs="Verdana"/>
          <w:sz w:val="20"/>
          <w:szCs w:val="20"/>
          <w:lang w:val="es-ES"/>
        </w:rPr>
        <w:t>Favignana</w:t>
      </w:r>
      <w:proofErr w:type="spellEnd"/>
      <w:r>
        <w:rPr>
          <w:rFonts w:ascii="Verdana" w:eastAsia="Verdana" w:hAnsi="Verdana" w:cs="Verdana"/>
          <w:sz w:val="20"/>
          <w:szCs w:val="20"/>
          <w:lang w:val="es-ES"/>
        </w:rPr>
        <w:t xml:space="preserve">; no el Peloponeso, sino </w:t>
      </w:r>
      <w:proofErr w:type="spellStart"/>
      <w:r>
        <w:rPr>
          <w:rFonts w:ascii="Verdana" w:eastAsia="Verdana" w:hAnsi="Verdana" w:cs="Verdana"/>
          <w:sz w:val="20"/>
          <w:szCs w:val="20"/>
          <w:lang w:val="es-ES"/>
        </w:rPr>
        <w:t>Voidokilia</w:t>
      </w:r>
      <w:proofErr w:type="spellEnd"/>
      <w:r>
        <w:rPr>
          <w:rFonts w:ascii="Verdana" w:eastAsia="Verdana" w:hAnsi="Verdana" w:cs="Verdana"/>
          <w:sz w:val="20"/>
          <w:szCs w:val="20"/>
          <w:lang w:val="es-ES"/>
        </w:rPr>
        <w:t xml:space="preserve">. Son lugares a los que rara vez se llega en vuelo directo desde España, y ahí entra en juego el innovador algoritmo de Kiwi.com, capaz de combinar trayectos de aerolíneas sin acuerdo entre sí mediante el </w:t>
      </w:r>
      <w:proofErr w:type="spellStart"/>
      <w:r>
        <w:rPr>
          <w:rFonts w:ascii="Verdana" w:eastAsia="Verdana" w:hAnsi="Verdana" w:cs="Verdana"/>
          <w:i/>
          <w:iCs/>
          <w:sz w:val="20"/>
          <w:szCs w:val="20"/>
          <w:lang w:val="es-ES"/>
        </w:rPr>
        <w:t>interlining</w:t>
      </w:r>
      <w:proofErr w:type="spellEnd"/>
      <w:r>
        <w:rPr>
          <w:rFonts w:ascii="Verdana" w:eastAsia="Verdana" w:hAnsi="Verdana" w:cs="Verdana"/>
          <w:i/>
          <w:iCs/>
          <w:sz w:val="20"/>
          <w:szCs w:val="20"/>
          <w:lang w:val="es-ES"/>
        </w:rPr>
        <w:t xml:space="preserve"> virtual</w:t>
      </w:r>
      <w:r>
        <w:rPr>
          <w:rFonts w:ascii="Verdana" w:eastAsia="Verdana" w:hAnsi="Verdana" w:cs="Verdana"/>
          <w:sz w:val="20"/>
          <w:szCs w:val="20"/>
          <w:lang w:val="es-ES"/>
        </w:rPr>
        <w:t xml:space="preserve"> y de encontrar rutas que otros buscadores no muestran.</w:t>
      </w:r>
    </w:p>
    <w:p w14:paraId="7701AF25" w14:textId="77777777" w:rsidR="00977FE4" w:rsidRDefault="00977FE4" w:rsidP="00977FE4">
      <w:pPr>
        <w:spacing w:before="240" w:after="240" w:line="360" w:lineRule="auto"/>
        <w:jc w:val="both"/>
      </w:pPr>
      <w:r>
        <w:rPr>
          <w:rFonts w:ascii="Verdana" w:eastAsia="Verdana" w:hAnsi="Verdana" w:cs="Verdana"/>
          <w:i/>
          <w:iCs/>
          <w:sz w:val="20"/>
          <w:szCs w:val="20"/>
          <w:lang w:val="es-ES"/>
        </w:rPr>
        <w:t>*Datos analizados: búsquedas de vuelos realizadas desde el mercado español, con independencia de la nacionalidad del viajero, durante julio de 2026, y el período equivalente de julio de 2025. Los datos de Escocia se han obtenido mediante un análisis por aeropuertos, no por país, al no existir desagregación nacional dentro de Reino Unido.</w:t>
      </w:r>
    </w:p>
    <w:p w14:paraId="15866E8C" w14:textId="77777777" w:rsidR="002C100A" w:rsidRDefault="002C100A">
      <w:pPr>
        <w:jc w:val="both"/>
        <w:rPr>
          <w:rFonts w:ascii="Verdana" w:eastAsia="Verdana" w:hAnsi="Verdana" w:cs="Verdana"/>
          <w:b/>
          <w:bCs/>
          <w:sz w:val="20"/>
          <w:szCs w:val="20"/>
        </w:rPr>
      </w:pPr>
    </w:p>
    <w:p w14:paraId="614BA7A1" w14:textId="77777777" w:rsidR="002C100A" w:rsidRDefault="00000000">
      <w:pPr>
        <w:jc w:val="both"/>
        <w:rPr>
          <w:rFonts w:ascii="Verdana" w:eastAsia="Verdana" w:hAnsi="Verdana" w:cs="Verdana"/>
          <w:b/>
          <w:bCs/>
          <w:sz w:val="20"/>
          <w:szCs w:val="20"/>
        </w:rPr>
      </w:pPr>
      <w:r>
        <w:rPr>
          <w:rFonts w:ascii="Verdana" w:eastAsia="Verdana" w:hAnsi="Verdana" w:cs="Verdana"/>
          <w:b/>
          <w:bCs/>
          <w:sz w:val="20"/>
          <w:szCs w:val="20"/>
        </w:rPr>
        <w:t>Acerca de Kiwi.com</w:t>
      </w:r>
    </w:p>
    <w:p w14:paraId="2E6AC33A" w14:textId="77777777" w:rsidR="002C100A" w:rsidRDefault="00000000">
      <w:pPr>
        <w:jc w:val="both"/>
        <w:rPr>
          <w:rFonts w:ascii="Verdana" w:eastAsia="Verdana" w:hAnsi="Verdana" w:cs="Verdana"/>
          <w:sz w:val="20"/>
          <w:szCs w:val="20"/>
        </w:rPr>
      </w:pPr>
      <w:r>
        <w:rPr>
          <w:rFonts w:ascii="Verdana" w:eastAsia="Verdana" w:hAnsi="Verdana" w:cs="Verdana"/>
          <w:sz w:val="20"/>
          <w:szCs w:val="20"/>
        </w:rPr>
        <w:t xml:space="preserve">Kiwi.com es una empresa líder en tecnología de viajes y una agencia de viajes online que ayuda a los viajeros a encontrar las mejores ofertas de vuelos entre millones de rutas. </w:t>
      </w:r>
      <w:r>
        <w:rPr>
          <w:rFonts w:ascii="Verdana" w:eastAsia="Verdana" w:hAnsi="Verdana" w:cs="Verdana"/>
          <w:sz w:val="20"/>
          <w:szCs w:val="20"/>
        </w:rPr>
        <w:lastRenderedPageBreak/>
        <w:t>Ofrece una combinación única de tarifas económicas y tranquilidad gracias a la Garantía Kiwi.com, que proporciona asistencia y protección cuando cambian los planes de viaje.</w:t>
      </w:r>
    </w:p>
    <w:p w14:paraId="50D04596" w14:textId="77777777" w:rsidR="002C100A" w:rsidRDefault="002C100A">
      <w:pPr>
        <w:spacing w:line="360" w:lineRule="auto"/>
        <w:jc w:val="both"/>
        <w:rPr>
          <w:rFonts w:ascii="Verdana" w:eastAsia="Verdana" w:hAnsi="Verdana" w:cs="Verdana"/>
          <w:sz w:val="20"/>
          <w:szCs w:val="20"/>
        </w:rPr>
      </w:pPr>
    </w:p>
    <w:p w14:paraId="610A6A33" w14:textId="77777777" w:rsidR="002C100A" w:rsidRDefault="00000000">
      <w:pPr>
        <w:jc w:val="both"/>
        <w:rPr>
          <w:rFonts w:ascii="Verdana" w:eastAsia="Verdana" w:hAnsi="Verdana" w:cs="Verdana"/>
          <w:b/>
          <w:bCs/>
          <w:sz w:val="20"/>
          <w:szCs w:val="20"/>
        </w:rPr>
      </w:pPr>
      <w:r>
        <w:rPr>
          <w:rFonts w:ascii="Verdana" w:eastAsia="Verdana" w:hAnsi="Verdana" w:cs="Verdana"/>
          <w:b/>
          <w:bCs/>
          <w:sz w:val="20"/>
          <w:szCs w:val="20"/>
        </w:rPr>
        <w:t>Contacto de prensa:</w:t>
      </w:r>
    </w:p>
    <w:p w14:paraId="67991724" w14:textId="77777777" w:rsidR="002C100A" w:rsidRDefault="00000000">
      <w:pPr>
        <w:jc w:val="both"/>
        <w:rPr>
          <w:rFonts w:ascii="Verdana" w:eastAsia="Verdana" w:hAnsi="Verdana" w:cs="Verdana"/>
          <w:sz w:val="20"/>
          <w:szCs w:val="20"/>
        </w:rPr>
      </w:pPr>
      <w:r>
        <w:rPr>
          <w:rFonts w:ascii="Verdana" w:eastAsia="Verdana" w:hAnsi="Verdana" w:cs="Verdana"/>
          <w:sz w:val="20"/>
          <w:szCs w:val="20"/>
        </w:rPr>
        <w:t>SERGAT, agencia de comunicación</w:t>
      </w:r>
    </w:p>
    <w:p w14:paraId="7719C081" w14:textId="77777777" w:rsidR="002C100A" w:rsidRDefault="002C100A">
      <w:pPr>
        <w:jc w:val="both"/>
        <w:rPr>
          <w:rFonts w:ascii="Verdana" w:eastAsia="Verdana" w:hAnsi="Verdana" w:cs="Verdana"/>
          <w:color w:val="006699"/>
          <w:sz w:val="20"/>
          <w:szCs w:val="20"/>
        </w:rPr>
      </w:pPr>
      <w:hyperlink r:id="rId7">
        <w:r>
          <w:rPr>
            <w:rFonts w:ascii="Verdana" w:eastAsia="Verdana" w:hAnsi="Verdana" w:cs="Verdana"/>
            <w:color w:val="0000FF"/>
            <w:sz w:val="20"/>
            <w:szCs w:val="20"/>
            <w:u w:val="single"/>
          </w:rPr>
          <w:t>prensa@sergat.com</w:t>
        </w:r>
      </w:hyperlink>
      <w:r>
        <w:rPr>
          <w:rFonts w:ascii="Verdana" w:eastAsia="Verdana" w:hAnsi="Verdana" w:cs="Verdana"/>
          <w:color w:val="006699"/>
          <w:sz w:val="20"/>
          <w:szCs w:val="20"/>
        </w:rPr>
        <w:t xml:space="preserve">  </w:t>
      </w:r>
    </w:p>
    <w:p w14:paraId="31FAFB71" w14:textId="77777777" w:rsidR="002C100A" w:rsidRDefault="002C100A">
      <w:pPr>
        <w:spacing w:line="331" w:lineRule="auto"/>
        <w:jc w:val="both"/>
        <w:rPr>
          <w:rFonts w:ascii="Verdana" w:eastAsia="Verdana" w:hAnsi="Verdana" w:cs="Verdana"/>
          <w:sz w:val="20"/>
          <w:szCs w:val="20"/>
        </w:rPr>
      </w:pPr>
    </w:p>
    <w:p w14:paraId="048CEB28" w14:textId="77777777" w:rsidR="002C100A" w:rsidRDefault="002C100A">
      <w:pPr>
        <w:spacing w:line="331" w:lineRule="auto"/>
        <w:jc w:val="both"/>
        <w:rPr>
          <w:rFonts w:ascii="Verdana" w:eastAsia="Verdana" w:hAnsi="Verdana" w:cs="Verdana"/>
          <w:b/>
          <w:bCs/>
          <w:sz w:val="20"/>
          <w:szCs w:val="20"/>
        </w:rPr>
      </w:pPr>
    </w:p>
    <w:sectPr w:rsidR="002C100A">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DF8397" w14:textId="77777777" w:rsidR="00F54BD2" w:rsidRDefault="00F54BD2">
      <w:pPr>
        <w:spacing w:line="240" w:lineRule="auto"/>
      </w:pPr>
      <w:r>
        <w:separator/>
      </w:r>
    </w:p>
  </w:endnote>
  <w:endnote w:type="continuationSeparator" w:id="0">
    <w:p w14:paraId="0E106C2C" w14:textId="77777777" w:rsidR="00F54BD2" w:rsidRDefault="00F54B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33B655DF-A268-E546-B548-43F37F6FDCB9}"/>
    <w:embedItalic r:id="rId2" w:fontKey="{4431B025-6741-0645-8926-A6EA0120AFCB}"/>
  </w:font>
  <w:font w:name="Times New Roman">
    <w:panose1 w:val="02020603050405020304"/>
    <w:charset w:val="00"/>
    <w:family w:val="roman"/>
    <w:pitch w:val="variable"/>
    <w:sig w:usb0="E0002EFF" w:usb1="C000785B" w:usb2="00000009" w:usb3="00000000" w:csb0="000001FF" w:csb1="00000000"/>
    <w:embedRegular r:id="rId3" w:fontKey="{1153B5CF-53EA-B547-AFEA-2C4C52F8462E}"/>
  </w:font>
  <w:font w:name="Verdana">
    <w:panose1 w:val="020B0604030504040204"/>
    <w:charset w:val="00"/>
    <w:family w:val="swiss"/>
    <w:pitch w:val="variable"/>
    <w:sig w:usb0="A10006FF" w:usb1="4000205B" w:usb2="00000010" w:usb3="00000000" w:csb0="0000019F" w:csb1="00000000"/>
    <w:embedRegular r:id="rId4" w:fontKey="{711C6E5A-168D-D646-B214-9BF3A015A226}"/>
    <w:embedBold r:id="rId5" w:fontKey="{839BD913-DEF2-7A4A-AC9A-53604BED1C25}"/>
    <w:embedItalic r:id="rId6" w:fontKey="{102BD2E9-6CF0-4E4A-90C4-0B7910D1899F}"/>
  </w:font>
  <w:font w:name="Calibri">
    <w:panose1 w:val="020F0502020204030204"/>
    <w:charset w:val="00"/>
    <w:family w:val="swiss"/>
    <w:pitch w:val="variable"/>
    <w:sig w:usb0="E0002AFF" w:usb1="C000247B" w:usb2="00000009" w:usb3="00000000" w:csb0="000001FF" w:csb1="00000000"/>
    <w:embedRegular r:id="rId7" w:fontKey="{D11A86CB-D5EB-1D4A-970F-C40406B248C6}"/>
  </w:font>
  <w:font w:name="Cambria">
    <w:panose1 w:val="02040503050406030204"/>
    <w:charset w:val="00"/>
    <w:family w:val="roman"/>
    <w:pitch w:val="variable"/>
    <w:sig w:usb0="E00002FF" w:usb1="400004FF" w:usb2="00000000" w:usb3="00000000" w:csb0="0000019F" w:csb1="00000000"/>
    <w:embedRegular r:id="rId8" w:fontKey="{A1B8A5C2-2CBF-DC4F-A0B1-86373ECF50E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E50631" w14:textId="77777777" w:rsidR="00F54BD2" w:rsidRDefault="00F54BD2">
      <w:pPr>
        <w:spacing w:line="240" w:lineRule="auto"/>
      </w:pPr>
      <w:r>
        <w:separator/>
      </w:r>
    </w:p>
  </w:footnote>
  <w:footnote w:type="continuationSeparator" w:id="0">
    <w:p w14:paraId="5D342364" w14:textId="77777777" w:rsidR="00F54BD2" w:rsidRDefault="00F54B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09484F" w14:textId="77777777" w:rsidR="002C100A" w:rsidRDefault="00000000">
    <w:r>
      <w:rPr>
        <w:noProof/>
      </w:rPr>
      <w:drawing>
        <wp:anchor distT="0" distB="0" distL="114300" distR="114300" simplePos="0" relativeHeight="251658240" behindDoc="0" locked="0" layoutInCell="1" hidden="0" allowOverlap="1" wp14:anchorId="081A3B50" wp14:editId="71622A66">
          <wp:simplePos x="0" y="0"/>
          <wp:positionH relativeFrom="column">
            <wp:posOffset>61</wp:posOffset>
          </wp:positionH>
          <wp:positionV relativeFrom="paragraph">
            <wp:posOffset>180975</wp:posOffset>
          </wp:positionV>
          <wp:extent cx="1381125" cy="681990"/>
          <wp:effectExtent l="0" t="0" r="0" b="0"/>
          <wp:wrapSquare wrapText="bothSides" distT="0" distB="0" distL="114300" distR="114300"/>
          <wp:docPr id="1" name="image2.png" descr="Logo-63"/>
          <wp:cNvGraphicFramePr/>
          <a:graphic xmlns:a="http://schemas.openxmlformats.org/drawingml/2006/main">
            <a:graphicData uri="http://schemas.openxmlformats.org/drawingml/2006/picture">
              <pic:pic xmlns:pic="http://schemas.openxmlformats.org/drawingml/2006/picture">
                <pic:nvPicPr>
                  <pic:cNvPr id="0" name="image2.png" descr="Logo-63"/>
                  <pic:cNvPicPr preferRelativeResize="0"/>
                </pic:nvPicPr>
                <pic:blipFill>
                  <a:blip r:embed="rId1"/>
                  <a:srcRect t="116" b="114"/>
                  <a:stretch>
                    <a:fillRect/>
                  </a:stretch>
                </pic:blipFill>
                <pic:spPr>
                  <a:xfrm>
                    <a:off x="0" y="0"/>
                    <a:ext cx="1381125" cy="681990"/>
                  </a:xfrm>
                  <a:prstGeom prst="rect">
                    <a:avLst/>
                  </a:prstGeom>
                  <a:ln/>
                </pic:spPr>
              </pic:pic>
            </a:graphicData>
          </a:graphic>
        </wp:anchor>
      </w:drawing>
    </w:r>
  </w:p>
  <w:p w14:paraId="5827D35E" w14:textId="77777777" w:rsidR="002C100A" w:rsidRDefault="00000000">
    <w:r>
      <w:rPr>
        <w:noProof/>
      </w:rPr>
      <w:drawing>
        <wp:anchor distT="114300" distB="114300" distL="114300" distR="114300" simplePos="0" relativeHeight="251659264" behindDoc="0" locked="0" layoutInCell="1" hidden="0" allowOverlap="1" wp14:anchorId="5E01900D" wp14:editId="7D002C71">
          <wp:simplePos x="0" y="0"/>
          <wp:positionH relativeFrom="column">
            <wp:posOffset>4339118</wp:posOffset>
          </wp:positionH>
          <wp:positionV relativeFrom="paragraph">
            <wp:posOffset>142236</wp:posOffset>
          </wp:positionV>
          <wp:extent cx="1381125" cy="427990"/>
          <wp:effectExtent l="0" t="0" r="0" b="0"/>
          <wp:wrapSquare wrapText="bothSides" distT="114300" distB="114300" distL="114300" distR="114300"/>
          <wp:docPr id="2" name="image1.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 Logotipo&#10;&#10;Descripción generada automáticamente"/>
                  <pic:cNvPicPr preferRelativeResize="0"/>
                </pic:nvPicPr>
                <pic:blipFill>
                  <a:blip r:embed="rId2"/>
                  <a:srcRect/>
                  <a:stretch>
                    <a:fillRect/>
                  </a:stretch>
                </pic:blipFill>
                <pic:spPr>
                  <a:xfrm>
                    <a:off x="0" y="0"/>
                    <a:ext cx="1381125" cy="427990"/>
                  </a:xfrm>
                  <a:prstGeom prst="rect">
                    <a:avLst/>
                  </a:prstGeom>
                  <a:ln/>
                </pic:spPr>
              </pic:pic>
            </a:graphicData>
          </a:graphic>
        </wp:anchor>
      </w:drawing>
    </w:r>
  </w:p>
  <w:p w14:paraId="0AE4A0BB" w14:textId="77777777" w:rsidR="002C100A" w:rsidRDefault="002C100A"/>
  <w:p w14:paraId="7FF6E8C4" w14:textId="77777777" w:rsidR="002C100A" w:rsidRDefault="002C100A"/>
  <w:p w14:paraId="3E4CA84E" w14:textId="77777777" w:rsidR="002C100A" w:rsidRDefault="002C100A"/>
  <w:p w14:paraId="1DE190FA" w14:textId="77777777" w:rsidR="002C100A" w:rsidRDefault="002C100A"/>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00A"/>
    <w:rsid w:val="002C100A"/>
    <w:rsid w:val="00440E9B"/>
    <w:rsid w:val="00467F6A"/>
    <w:rsid w:val="005665BB"/>
    <w:rsid w:val="005B6EAD"/>
    <w:rsid w:val="0062734B"/>
    <w:rsid w:val="0064481F"/>
    <w:rsid w:val="007F14BC"/>
    <w:rsid w:val="00887415"/>
    <w:rsid w:val="009241C5"/>
    <w:rsid w:val="00977FE4"/>
    <w:rsid w:val="00A01EF1"/>
    <w:rsid w:val="00C86671"/>
    <w:rsid w:val="00D04C59"/>
    <w:rsid w:val="00D32084"/>
    <w:rsid w:val="00D74DF2"/>
    <w:rsid w:val="00DC6B90"/>
    <w:rsid w:val="00ED5DF4"/>
    <w:rsid w:val="00F13129"/>
    <w:rsid w:val="00F509A4"/>
    <w:rsid w:val="00F54BD2"/>
    <w:rsid w:val="00F938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1C0FAC3"/>
  <w15:docId w15:val="{410A2662-2BCD-F54D-95C6-6A543B7B2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customStyle="1" w:styleId="ds-markdown-paragraph">
    <w:name w:val="ds-markdown-paragraph"/>
    <w:basedOn w:val="Normal"/>
    <w:rsid w:val="00D32084"/>
    <w:pPr>
      <w:spacing w:before="100" w:beforeAutospacing="1" w:after="100" w:afterAutospacing="1" w:line="240" w:lineRule="auto"/>
    </w:pPr>
    <w:rPr>
      <w:rFonts w:ascii="Times New Roman" w:eastAsia="Times New Roman" w:hAnsi="Times New Roman" w:cs="Times New Roman"/>
      <w:sz w:val="24"/>
      <w:szCs w:val="24"/>
      <w:lang w:val="es-ES"/>
    </w:rPr>
  </w:style>
  <w:style w:type="character" w:styleId="Hipervnculo">
    <w:name w:val="Hyperlink"/>
    <w:basedOn w:val="Fuentedeprrafopredeter"/>
    <w:uiPriority w:val="99"/>
    <w:semiHidden/>
    <w:unhideWhenUsed/>
    <w:rsid w:val="00D320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Z3CF77yIBfKE994H/n957TWGpA==">CgMxLjA4AHIhMUVrakREcDNiUEhGaGFSVl90dk9WUnQ5dEJwM2pORE43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858</Words>
  <Characters>4302</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La Odisea. Escenarios de rodaje - Viajes</vt:lpstr>
      <vt:lpstr/>
    </vt:vector>
  </TitlesOfParts>
  <Manager/>
  <Company/>
  <LinksUpToDate>false</LinksUpToDate>
  <CharactersWithSpaces>5141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Odisea. Escenarios de rodaje - Viajes</dc:title>
  <dc:subject/>
  <dc:creator>Sergat</dc:creator>
  <cp:keywords/>
  <dc:description/>
  <cp:lastModifiedBy>Ana</cp:lastModifiedBy>
  <cp:revision>9</cp:revision>
  <dcterms:created xsi:type="dcterms:W3CDTF">2026-07-28T11:32:00Z</dcterms:created>
  <dcterms:modified xsi:type="dcterms:W3CDTF">2026-07-29T14:24:00Z</dcterms:modified>
  <cp:category/>
</cp:coreProperties>
</file>