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5D2B" w14:textId="28690D20"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0CE0E05" w14:textId="31850601"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EMIRAT</w:t>
      </w:r>
      <w:r w:rsidR="005B15E3">
        <w:rPr>
          <w:rFonts w:ascii="Century Gothic" w:eastAsia="Century Gothic" w:hAnsi="Century Gothic" w:cs="Century Gothic"/>
          <w:color w:val="000000"/>
          <w:sz w:val="18"/>
          <w:szCs w:val="18"/>
        </w:rPr>
        <w:t>ES</w:t>
      </w:r>
      <w:r>
        <w:rPr>
          <w:rFonts w:ascii="Century Gothic" w:eastAsia="Century Gothic" w:hAnsi="Century Gothic" w:cs="Century Gothic"/>
          <w:color w:val="000000"/>
          <w:sz w:val="18"/>
          <w:szCs w:val="18"/>
        </w:rPr>
        <w:t xml:space="preserve"> </w:t>
      </w:r>
    </w:p>
    <w:p w14:paraId="7BFC8FA8" w14:textId="77777777"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232028EE" w14:textId="77777777"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23CEEC15" w14:textId="77777777" w:rsidR="002A554A"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0"/>
        <w:tblW w:w="5775" w:type="dxa"/>
        <w:jc w:val="center"/>
        <w:tblInd w:w="0" w:type="dxa"/>
        <w:tblLayout w:type="fixed"/>
        <w:tblLook w:val="0400" w:firstRow="0" w:lastRow="0" w:firstColumn="0" w:lastColumn="0" w:noHBand="0" w:noVBand="1"/>
      </w:tblPr>
      <w:tblGrid>
        <w:gridCol w:w="5775"/>
      </w:tblGrid>
      <w:tr w:rsidR="009B1EE9" w14:paraId="43A73159" w14:textId="77777777">
        <w:trPr>
          <w:jc w:val="center"/>
        </w:trPr>
        <w:tc>
          <w:tcPr>
            <w:tcW w:w="5775" w:type="dxa"/>
            <w:vAlign w:val="center"/>
          </w:tcPr>
          <w:p w14:paraId="5443AF41" w14:textId="77777777" w:rsidR="009B1EE9" w:rsidRDefault="009B1EE9">
            <w:pPr>
              <w:jc w:val="center"/>
              <w:rPr>
                <w:sz w:val="20"/>
                <w:szCs w:val="20"/>
              </w:rPr>
            </w:pPr>
          </w:p>
        </w:tc>
      </w:tr>
    </w:tbl>
    <w:p w14:paraId="47061923" w14:textId="4152C4B2" w:rsidR="00785A87" w:rsidRDefault="00785A87" w:rsidP="00F476C2">
      <w:pPr>
        <w:pBdr>
          <w:top w:val="nil"/>
          <w:left w:val="nil"/>
          <w:bottom w:val="nil"/>
          <w:right w:val="nil"/>
          <w:between w:val="nil"/>
        </w:pBdr>
        <w:spacing w:before="280" w:line="360" w:lineRule="auto"/>
        <w:jc w:val="center"/>
        <w:rPr>
          <w:rFonts w:ascii="Century Gothic" w:eastAsia="Century Gothic" w:hAnsi="Century Gothic" w:cs="Century Gothic"/>
          <w:b/>
          <w:bCs/>
          <w:iCs/>
        </w:rPr>
      </w:pPr>
      <w:r w:rsidRPr="00785A87">
        <w:rPr>
          <w:rFonts w:ascii="Century Gothic" w:eastAsia="Century Gothic" w:hAnsi="Century Gothic" w:cs="Century Gothic"/>
          <w:b/>
          <w:bCs/>
          <w:iCs/>
        </w:rPr>
        <w:t>Cinco formas en las que Emirates ayuda a sus clientes a viajar</w:t>
      </w:r>
    </w:p>
    <w:p w14:paraId="0D0565CD" w14:textId="77777777" w:rsidR="00785A87" w:rsidRPr="00785A87" w:rsidRDefault="009C513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C5137">
        <w:rPr>
          <w:rFonts w:ascii="Century Gothic" w:eastAsia="Century Gothic" w:hAnsi="Century Gothic" w:cs="Century Gothic"/>
          <w:b/>
          <w:sz w:val="22"/>
          <w:szCs w:val="22"/>
        </w:rPr>
        <w:t>Dubái,</w:t>
      </w:r>
      <w:r w:rsidR="005061EC" w:rsidRPr="005061EC">
        <w:t xml:space="preserve"> </w:t>
      </w:r>
      <w:r w:rsidR="005E616D">
        <w:rPr>
          <w:rFonts w:ascii="Century Gothic" w:eastAsia="Century Gothic" w:hAnsi="Century Gothic" w:cs="Century Gothic"/>
          <w:b/>
          <w:sz w:val="22"/>
          <w:szCs w:val="22"/>
        </w:rPr>
        <w:t>UAE</w:t>
      </w:r>
      <w:r w:rsidRPr="009C5137">
        <w:rPr>
          <w:rFonts w:ascii="Century Gothic" w:eastAsia="Century Gothic" w:hAnsi="Century Gothic" w:cs="Century Gothic"/>
          <w:b/>
          <w:sz w:val="22"/>
          <w:szCs w:val="22"/>
        </w:rPr>
        <w:t xml:space="preserve">, </w:t>
      </w:r>
      <w:r w:rsidR="00785A87">
        <w:rPr>
          <w:rFonts w:ascii="Century Gothic" w:eastAsia="Century Gothic" w:hAnsi="Century Gothic" w:cs="Century Gothic"/>
          <w:b/>
          <w:sz w:val="22"/>
          <w:szCs w:val="22"/>
        </w:rPr>
        <w:t>11</w:t>
      </w:r>
      <w:r w:rsidR="000F414C">
        <w:rPr>
          <w:rFonts w:ascii="Century Gothic" w:eastAsia="Century Gothic" w:hAnsi="Century Gothic" w:cs="Century Gothic"/>
          <w:b/>
          <w:sz w:val="22"/>
          <w:szCs w:val="22"/>
        </w:rPr>
        <w:t xml:space="preserve"> </w:t>
      </w:r>
      <w:r>
        <w:rPr>
          <w:rFonts w:ascii="Century Gothic" w:eastAsia="Century Gothic" w:hAnsi="Century Gothic" w:cs="Century Gothic"/>
          <w:b/>
          <w:sz w:val="22"/>
          <w:szCs w:val="22"/>
        </w:rPr>
        <w:t>de</w:t>
      </w:r>
      <w:r w:rsidR="000F414C">
        <w:rPr>
          <w:rFonts w:ascii="Century Gothic" w:eastAsia="Century Gothic" w:hAnsi="Century Gothic" w:cs="Century Gothic"/>
          <w:b/>
          <w:sz w:val="22"/>
          <w:szCs w:val="22"/>
        </w:rPr>
        <w:t xml:space="preserve"> </w:t>
      </w:r>
      <w:r w:rsidR="003811C2">
        <w:rPr>
          <w:rFonts w:ascii="Century Gothic" w:eastAsia="Century Gothic" w:hAnsi="Century Gothic" w:cs="Century Gothic"/>
          <w:b/>
          <w:sz w:val="22"/>
          <w:szCs w:val="22"/>
        </w:rPr>
        <w:t>agosto</w:t>
      </w:r>
      <w:r w:rsidR="001C22A7">
        <w:rPr>
          <w:rFonts w:ascii="Century Gothic" w:eastAsia="Century Gothic" w:hAnsi="Century Gothic" w:cs="Century Gothic"/>
          <w:b/>
          <w:sz w:val="22"/>
          <w:szCs w:val="22"/>
        </w:rPr>
        <w:t xml:space="preserve"> </w:t>
      </w:r>
      <w:r w:rsidR="0056135F" w:rsidRPr="00D12AFF">
        <w:rPr>
          <w:rFonts w:ascii="Century Gothic" w:eastAsia="Century Gothic" w:hAnsi="Century Gothic" w:cs="Century Gothic"/>
          <w:b/>
          <w:sz w:val="22"/>
          <w:szCs w:val="22"/>
        </w:rPr>
        <w:t>de 202</w:t>
      </w:r>
      <w:r w:rsidR="003A5FAA">
        <w:rPr>
          <w:rFonts w:ascii="Century Gothic" w:eastAsia="Century Gothic" w:hAnsi="Century Gothic" w:cs="Century Gothic"/>
          <w:b/>
          <w:sz w:val="22"/>
          <w:szCs w:val="22"/>
        </w:rPr>
        <w:t>6</w:t>
      </w:r>
      <w:r w:rsidR="0056135F" w:rsidRPr="00D12AFF">
        <w:rPr>
          <w:rFonts w:ascii="Century Gothic" w:eastAsia="Century Gothic" w:hAnsi="Century Gothic" w:cs="Century Gothic"/>
          <w:b/>
          <w:sz w:val="22"/>
          <w:szCs w:val="22"/>
        </w:rPr>
        <w:t>:</w:t>
      </w:r>
      <w:r w:rsidR="0056135F" w:rsidRPr="000E5888">
        <w:rPr>
          <w:rFonts w:ascii="Century Gothic" w:eastAsia="Century Gothic" w:hAnsi="Century Gothic" w:cs="Century Gothic"/>
          <w:b/>
          <w:sz w:val="22"/>
          <w:szCs w:val="22"/>
        </w:rPr>
        <w:t xml:space="preserve"> </w:t>
      </w:r>
      <w:r w:rsidR="00785A87" w:rsidRPr="00785A87">
        <w:rPr>
          <w:rFonts w:ascii="Century Gothic" w:eastAsia="Century Gothic" w:hAnsi="Century Gothic" w:cs="Century Gothic"/>
          <w:sz w:val="22"/>
          <w:szCs w:val="22"/>
        </w:rPr>
        <w:t>Desde cambios de fecha gratuitos hasta un seguro de viaje integral pionero en el sector, Emirates sigue ofreciendo a sus clientes una mayor flexibilidad y más opciones, así como la posibilidad de personalizar sus planes de viaje para disfrutar de una mayor tranquilidad, desde la reserva hasta el momento de llegar a su destino.</w:t>
      </w:r>
    </w:p>
    <w:p w14:paraId="231F2EEF"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A continuación, un resumen de las últimas medidas:</w:t>
      </w:r>
    </w:p>
    <w:p w14:paraId="7E5848E8"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lang w:val="pt-PT"/>
        </w:rPr>
      </w:pPr>
      <w:r w:rsidRPr="00785A87">
        <w:rPr>
          <w:rFonts w:ascii="Century Gothic" w:eastAsia="Century Gothic" w:hAnsi="Century Gothic" w:cs="Century Gothic"/>
          <w:sz w:val="22"/>
          <w:szCs w:val="22"/>
          <w:lang w:val="pt-PT"/>
        </w:rPr>
        <w:t>1. Cambios de fecha gratuitos e ilimitados a Dubái</w:t>
      </w:r>
    </w:p>
    <w:p w14:paraId="1BF1F46E" w14:textId="472B519D"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A partir del 10 de agosto de 2026, los clientes que viajen a Dubái podrán cambiar las fechas de su viaje tantas veces como necesiten, sin coste alguno, en cualquier tipo de tarifa. Los cambios gratuitos e ilimitados se aplican desde las tarifas «Saver» hasta las «Flex» en clase Turista, y a las tarifas «Special», «Saver» y «Flex» en Business</w:t>
      </w:r>
      <w:r>
        <w:rPr>
          <w:rFonts w:ascii="Century Gothic" w:eastAsia="Century Gothic" w:hAnsi="Century Gothic" w:cs="Century Gothic"/>
          <w:sz w:val="22"/>
          <w:szCs w:val="22"/>
        </w:rPr>
        <w:t xml:space="preserve"> Class</w:t>
      </w:r>
      <w:r w:rsidRPr="00785A87">
        <w:rPr>
          <w:rFonts w:ascii="Century Gothic" w:eastAsia="Century Gothic" w:hAnsi="Century Gothic" w:cs="Century Gothic"/>
          <w:sz w:val="22"/>
          <w:szCs w:val="22"/>
        </w:rPr>
        <w:t>*</w:t>
      </w:r>
    </w:p>
    <w:p w14:paraId="2C3AD516" w14:textId="5FF11453"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 xml:space="preserve">Las tarifas «Economy Flex Plus», «Premium Economy», «Business Flex Plus» </w:t>
      </w:r>
      <w:proofErr w:type="gramStart"/>
      <w:r w:rsidRPr="00785A87">
        <w:rPr>
          <w:rFonts w:ascii="Century Gothic" w:eastAsia="Century Gothic" w:hAnsi="Century Gothic" w:cs="Century Gothic"/>
          <w:sz w:val="22"/>
          <w:szCs w:val="22"/>
        </w:rPr>
        <w:t xml:space="preserve">y </w:t>
      </w:r>
      <w:r>
        <w:rPr>
          <w:rFonts w:ascii="Century Gothic" w:eastAsia="Century Gothic" w:hAnsi="Century Gothic" w:cs="Century Gothic"/>
          <w:sz w:val="22"/>
          <w:szCs w:val="22"/>
        </w:rPr>
        <w:t xml:space="preserve"> </w:t>
      </w:r>
      <w:r w:rsidRPr="00785A87">
        <w:rPr>
          <w:rFonts w:ascii="Century Gothic" w:eastAsia="Century Gothic" w:hAnsi="Century Gothic" w:cs="Century Gothic"/>
          <w:sz w:val="22"/>
          <w:szCs w:val="22"/>
        </w:rPr>
        <w:t>de</w:t>
      </w:r>
      <w:proofErr w:type="gramEnd"/>
      <w:r w:rsidRPr="00785A87">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First Class </w:t>
      </w:r>
      <w:r w:rsidRPr="00785A87">
        <w:rPr>
          <w:rFonts w:ascii="Century Gothic" w:eastAsia="Century Gothic" w:hAnsi="Century Gothic" w:cs="Century Gothic"/>
          <w:sz w:val="22"/>
          <w:szCs w:val="22"/>
        </w:rPr>
        <w:t>siguen siendo totalmente flexibles.</w:t>
      </w:r>
    </w:p>
    <w:p w14:paraId="680D7E83"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2. Reembolsos a un coste reducido</w:t>
      </w:r>
    </w:p>
    <w:p w14:paraId="68BB5967" w14:textId="5A70534A"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 xml:space="preserve">Emirates también ha reducido sustancialmente las tasas de reembolso en los vuelos a Dubái a 50 dólares estadounidenses en las tarifas «Saver» y a 25 dólares estadounidenses en las tarifas «Flex» de clase económica. En </w:t>
      </w:r>
      <w:r>
        <w:rPr>
          <w:rFonts w:ascii="Century Gothic" w:eastAsia="Century Gothic" w:hAnsi="Century Gothic" w:cs="Century Gothic"/>
          <w:sz w:val="22"/>
          <w:szCs w:val="22"/>
        </w:rPr>
        <w:t>Business Class</w:t>
      </w:r>
      <w:r w:rsidRPr="00785A87">
        <w:rPr>
          <w:rFonts w:ascii="Century Gothic" w:eastAsia="Century Gothic" w:hAnsi="Century Gothic" w:cs="Century Gothic"/>
          <w:sz w:val="22"/>
          <w:szCs w:val="22"/>
        </w:rPr>
        <w:t xml:space="preserve">, las tasas de reembolso serán de 50 dólares estadounidenses en las tarifas «Special» y «Saver», y de 25 dólares estadounidenses en las tarifas «Flex». ** Junto con los cambios de fecha gratuitos e </w:t>
      </w:r>
      <w:r w:rsidRPr="00785A87">
        <w:rPr>
          <w:rFonts w:ascii="Century Gothic" w:eastAsia="Century Gothic" w:hAnsi="Century Gothic" w:cs="Century Gothic"/>
          <w:sz w:val="22"/>
          <w:szCs w:val="22"/>
        </w:rPr>
        <w:lastRenderedPageBreak/>
        <w:t>ilimitados para Dubái, esta última medida permite a los clientes ajustar o cancelar una reserva con penalizaciones mínimas, sean cuales sean sus circunstancias.</w:t>
      </w:r>
    </w:p>
    <w:p w14:paraId="7661C13F"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3. Un cambio de fecha gratuito en cualquier destino de la red</w:t>
      </w:r>
    </w:p>
    <w:p w14:paraId="1F3F7F41"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 xml:space="preserve">Los clientes que viajen a cualquier destino de la red de Emirates tienen derecho a un cambio de fecha gratuito en los billetes reservados a partir del 2 de abril de 2026, incluidos los viajes con escala en Dubái. Los clientes también pueden bloquear una tarifa durante 24 horas sin coste alguno mientras ultiman sus </w:t>
      </w:r>
      <w:proofErr w:type="gramStart"/>
      <w:r w:rsidRPr="00785A87">
        <w:rPr>
          <w:rFonts w:ascii="Century Gothic" w:eastAsia="Century Gothic" w:hAnsi="Century Gothic" w:cs="Century Gothic"/>
          <w:sz w:val="22"/>
          <w:szCs w:val="22"/>
        </w:rPr>
        <w:t>planes.*</w:t>
      </w:r>
      <w:proofErr w:type="gramEnd"/>
    </w:p>
    <w:p w14:paraId="6201B3B5"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4. Cobertura de viaje integral</w:t>
      </w:r>
    </w:p>
    <w:p w14:paraId="76581173"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La Cobertura de viaje integral de Emirates es un producto de seguro pionero en el sector que cubre una amplia gama de situaciones, incluida una cobertura adicional por conflictos con reembolso de gastos médicos de hasta 25 000 dólares estadounidenses y una ampliación gratuita del viaje de hasta 30 días. La cobertura no está sujeta a las recomendaciones de viaje de los gobiernos. Los clientes también están cubiertos en caso de cancelación del viaje, retraso y pérdida de equipaje, además de gastos médicos ilimitados en todo el mundo y evacuación de emergencia.</w:t>
      </w:r>
    </w:p>
    <w:p w14:paraId="2BA25BCB"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Disponible a una prima asequible y en 27 países, la cobertura se puede contratar en el momento de la reserva en emirates.com o añadirse a una reserva existente a través de «Gestionar reserva».</w:t>
      </w:r>
    </w:p>
    <w:p w14:paraId="0EA84DB2"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En caso de interrupciones en los vuelos, Emirates se encargará directamente de proporcionar alojamiento a los clientes afectados. Cuando las conexiones posteriores con otras aerolíneas se vean afectadas, o los servicios de Emirates no estén disponibles, se volverá a reservar a los clientes hasta su destino sin coste adicional, incluso cuando las cancelaciones se deban a interrupciones en el espacio aéreo.</w:t>
      </w:r>
    </w:p>
    <w:p w14:paraId="69B95C0F"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 xml:space="preserve">5. Más flexibilidad y ahorros para los miembros de Emirates </w:t>
      </w:r>
      <w:proofErr w:type="spellStart"/>
      <w:r w:rsidRPr="00785A87">
        <w:rPr>
          <w:rFonts w:ascii="Century Gothic" w:eastAsia="Century Gothic" w:hAnsi="Century Gothic" w:cs="Century Gothic"/>
          <w:sz w:val="22"/>
          <w:szCs w:val="22"/>
        </w:rPr>
        <w:t>Skywards</w:t>
      </w:r>
      <w:proofErr w:type="spellEnd"/>
    </w:p>
    <w:p w14:paraId="070DA6B6"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lastRenderedPageBreak/>
        <w:t xml:space="preserve">Los miembros de Emirates </w:t>
      </w:r>
      <w:proofErr w:type="spellStart"/>
      <w:r w:rsidRPr="00785A87">
        <w:rPr>
          <w:rFonts w:ascii="Century Gothic" w:eastAsia="Century Gothic" w:hAnsi="Century Gothic" w:cs="Century Gothic"/>
          <w:sz w:val="22"/>
          <w:szCs w:val="22"/>
        </w:rPr>
        <w:t>Skywards</w:t>
      </w:r>
      <w:proofErr w:type="spellEnd"/>
      <w:r w:rsidRPr="00785A87">
        <w:rPr>
          <w:rFonts w:ascii="Century Gothic" w:eastAsia="Century Gothic" w:hAnsi="Century Gothic" w:cs="Century Gothic"/>
          <w:sz w:val="22"/>
          <w:szCs w:val="22"/>
        </w:rPr>
        <w:t xml:space="preserve"> pueden sacar más partido a sus viajes, con mayor flexibilidad, más oportunidades de ascender de categoría y ahorros adicionales al utilizar sus millas.</w:t>
      </w:r>
    </w:p>
    <w:p w14:paraId="31C13FE0"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Hasta el 31 de agosto de 2026, los miembros pueden beneficiarse de:</w:t>
      </w:r>
    </w:p>
    <w:p w14:paraId="5DBC5136"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Un 20 % menos de millas de categoría necesarias para alcanzar los estatus Silver, Gold y Platinum.</w:t>
      </w:r>
    </w:p>
    <w:p w14:paraId="1C84607B"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 xml:space="preserve">Un 20 % de bonificación en millas de categoría en vuelos de Emirates y </w:t>
      </w:r>
      <w:proofErr w:type="spellStart"/>
      <w:r w:rsidRPr="00785A87">
        <w:rPr>
          <w:rFonts w:ascii="Century Gothic" w:eastAsia="Century Gothic" w:hAnsi="Century Gothic" w:cs="Century Gothic"/>
          <w:sz w:val="22"/>
          <w:szCs w:val="22"/>
        </w:rPr>
        <w:t>flydubai</w:t>
      </w:r>
      <w:proofErr w:type="spellEnd"/>
      <w:r w:rsidRPr="00785A87">
        <w:rPr>
          <w:rFonts w:ascii="Century Gothic" w:eastAsia="Century Gothic" w:hAnsi="Century Gothic" w:cs="Century Gothic"/>
          <w:sz w:val="22"/>
          <w:szCs w:val="22"/>
        </w:rPr>
        <w:t>.</w:t>
      </w:r>
    </w:p>
    <w:p w14:paraId="1D761CB0" w14:textId="77777777" w:rsidR="00785A87" w:rsidRP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 xml:space="preserve">Más ahorro con </w:t>
      </w:r>
      <w:proofErr w:type="spellStart"/>
      <w:r w:rsidRPr="00785A87">
        <w:rPr>
          <w:rFonts w:ascii="Century Gothic" w:eastAsia="Century Gothic" w:hAnsi="Century Gothic" w:cs="Century Gothic"/>
          <w:sz w:val="22"/>
          <w:szCs w:val="22"/>
        </w:rPr>
        <w:t>Cash+Miles</w:t>
      </w:r>
      <w:proofErr w:type="spellEnd"/>
      <w:r w:rsidRPr="00785A87">
        <w:rPr>
          <w:rFonts w:ascii="Century Gothic" w:eastAsia="Century Gothic" w:hAnsi="Century Gothic" w:cs="Century Gothic"/>
          <w:sz w:val="22"/>
          <w:szCs w:val="22"/>
        </w:rPr>
        <w:t xml:space="preserve">, con una tarifa especial de 2.000 millas = 30 USD, en lugar de los 15 USD habituales, al utilizar millas en vuelos de Emirates o </w:t>
      </w:r>
      <w:proofErr w:type="spellStart"/>
      <w:r w:rsidRPr="00785A87">
        <w:rPr>
          <w:rFonts w:ascii="Century Gothic" w:eastAsia="Century Gothic" w:hAnsi="Century Gothic" w:cs="Century Gothic"/>
          <w:sz w:val="22"/>
          <w:szCs w:val="22"/>
        </w:rPr>
        <w:t>flydubai</w:t>
      </w:r>
      <w:proofErr w:type="spellEnd"/>
      <w:r w:rsidRPr="00785A87">
        <w:rPr>
          <w:rFonts w:ascii="Century Gothic" w:eastAsia="Century Gothic" w:hAnsi="Century Gothic" w:cs="Century Gothic"/>
          <w:sz w:val="22"/>
          <w:szCs w:val="22"/>
        </w:rPr>
        <w:t>, exceso de equipaje, acceso a salas VIP y selección de asientos.</w:t>
      </w:r>
    </w:p>
    <w:p w14:paraId="5E7D362E" w14:textId="440443C2" w:rsidR="00785A87" w:rsidRDefault="00785A87" w:rsidP="00785A8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785A87">
        <w:rPr>
          <w:rFonts w:ascii="Century Gothic" w:eastAsia="Century Gothic" w:hAnsi="Century Gothic" w:cs="Century Gothic"/>
          <w:sz w:val="22"/>
          <w:szCs w:val="22"/>
        </w:rPr>
        <w:t xml:space="preserve">Para obtener más información, visita </w:t>
      </w:r>
      <w:hyperlink r:id="rId8" w:history="1">
        <w:r w:rsidRPr="00944B7D">
          <w:rPr>
            <w:rStyle w:val="Hipervnculo"/>
            <w:rFonts w:ascii="Century Gothic" w:eastAsia="Century Gothic" w:hAnsi="Century Gothic" w:cs="Century Gothic"/>
            <w:sz w:val="22"/>
            <w:szCs w:val="22"/>
          </w:rPr>
          <w:t>www.emirates.com</w:t>
        </w:r>
      </w:hyperlink>
      <w:r w:rsidRPr="00785A87">
        <w:rPr>
          <w:rFonts w:ascii="Century Gothic" w:eastAsia="Century Gothic" w:hAnsi="Century Gothic" w:cs="Century Gothic"/>
          <w:sz w:val="22"/>
          <w:szCs w:val="22"/>
        </w:rPr>
        <w:t>.</w:t>
      </w:r>
    </w:p>
    <w:p w14:paraId="5DA8671E" w14:textId="7E09F15B" w:rsidR="00B426E5" w:rsidRPr="00B426E5" w:rsidRDefault="00B426E5" w:rsidP="00785A87">
      <w:pPr>
        <w:pBdr>
          <w:top w:val="nil"/>
          <w:left w:val="nil"/>
          <w:bottom w:val="nil"/>
          <w:right w:val="nil"/>
          <w:between w:val="nil"/>
        </w:pBdr>
        <w:spacing w:before="280" w:line="360" w:lineRule="auto"/>
        <w:jc w:val="both"/>
        <w:rPr>
          <w:rFonts w:ascii="Century Gothic" w:hAnsi="Century Gothic"/>
          <w:b/>
          <w:bCs/>
          <w:i/>
          <w:iCs/>
          <w:color w:val="000000"/>
          <w:sz w:val="18"/>
          <w:szCs w:val="18"/>
        </w:rPr>
      </w:pPr>
      <w:r w:rsidRPr="00B426E5">
        <w:rPr>
          <w:rFonts w:ascii="Century Gothic" w:hAnsi="Century Gothic"/>
          <w:b/>
          <w:bCs/>
          <w:i/>
          <w:iCs/>
          <w:color w:val="000000"/>
          <w:sz w:val="18"/>
          <w:szCs w:val="18"/>
        </w:rPr>
        <w:t>Acerca de Emirates</w:t>
      </w:r>
    </w:p>
    <w:p w14:paraId="3A0EF83B" w14:textId="77777777" w:rsidR="00B426E5" w:rsidRPr="00B426E5" w:rsidRDefault="00B426E5" w:rsidP="00B426E5">
      <w:pPr>
        <w:pBdr>
          <w:top w:val="nil"/>
          <w:left w:val="nil"/>
          <w:bottom w:val="nil"/>
          <w:right w:val="nil"/>
          <w:between w:val="nil"/>
        </w:pBdr>
        <w:spacing w:before="280" w:line="360" w:lineRule="auto"/>
        <w:jc w:val="both"/>
        <w:rPr>
          <w:rFonts w:ascii="Century Gothic" w:hAnsi="Century Gothic"/>
          <w:b/>
          <w:bCs/>
          <w:i/>
          <w:iCs/>
          <w:color w:val="000000"/>
          <w:sz w:val="18"/>
          <w:szCs w:val="18"/>
        </w:rPr>
      </w:pPr>
      <w:r w:rsidRPr="00B426E5">
        <w:rPr>
          <w:rFonts w:ascii="Century Gothic" w:hAnsi="Century Gothic"/>
          <w:b/>
          <w:bCs/>
          <w:i/>
          <w:iCs/>
          <w:color w:val="000000"/>
          <w:sz w:val="18"/>
          <w:szCs w:val="18"/>
        </w:rPr>
        <w:t xml:space="preserve">Emirates, la mayor aerolínea internacional de pasajeros, opera en España desde 2010. La compañía conecta a los viajeros españoles a través de su </w:t>
      </w:r>
      <w:proofErr w:type="spellStart"/>
      <w:proofErr w:type="gramStart"/>
      <w:r w:rsidRPr="00B426E5">
        <w:rPr>
          <w:rFonts w:ascii="Century Gothic" w:hAnsi="Century Gothic"/>
          <w:b/>
          <w:bCs/>
          <w:i/>
          <w:iCs/>
          <w:color w:val="000000"/>
          <w:sz w:val="18"/>
          <w:szCs w:val="18"/>
        </w:rPr>
        <w:t>hub</w:t>
      </w:r>
      <w:proofErr w:type="spellEnd"/>
      <w:proofErr w:type="gramEnd"/>
      <w:r w:rsidRPr="00B426E5">
        <w:rPr>
          <w:rFonts w:ascii="Century Gothic" w:hAnsi="Century Gothic"/>
          <w:b/>
          <w:bCs/>
          <w:i/>
          <w:iCs/>
          <w:color w:val="000000"/>
          <w:sz w:val="18"/>
          <w:szCs w:val="18"/>
        </w:rPr>
        <w:t xml:space="preserve"> global en Dubái con más de 130 destinos en todo el mundo. Emirates une Dubái con Madrid y Barcelona, así como también Ciudad de México vía Barcelona. En el último año, Emirates ha recibido múltiples reconocimientos, entre ellos, el de “Mejor Aerolínea del Mundo” por </w:t>
      </w:r>
      <w:proofErr w:type="spellStart"/>
      <w:r w:rsidRPr="00B426E5">
        <w:rPr>
          <w:rFonts w:ascii="Century Gothic" w:hAnsi="Century Gothic"/>
          <w:b/>
          <w:bCs/>
          <w:i/>
          <w:iCs/>
          <w:color w:val="000000"/>
          <w:sz w:val="18"/>
          <w:szCs w:val="18"/>
        </w:rPr>
        <w:t>Telegraph</w:t>
      </w:r>
      <w:proofErr w:type="spellEnd"/>
      <w:r w:rsidRPr="00B426E5">
        <w:rPr>
          <w:rFonts w:ascii="Century Gothic" w:hAnsi="Century Gothic"/>
          <w:b/>
          <w:bCs/>
          <w:i/>
          <w:iCs/>
          <w:color w:val="000000"/>
          <w:sz w:val="18"/>
          <w:szCs w:val="18"/>
        </w:rPr>
        <w:t xml:space="preserve"> Travel; “Mejor Aerolínea Internacional” en los premios Air Travel </w:t>
      </w:r>
      <w:proofErr w:type="spellStart"/>
      <w:r w:rsidRPr="00B426E5">
        <w:rPr>
          <w:rFonts w:ascii="Century Gothic" w:hAnsi="Century Gothic"/>
          <w:b/>
          <w:bCs/>
          <w:i/>
          <w:iCs/>
          <w:color w:val="000000"/>
          <w:sz w:val="18"/>
          <w:szCs w:val="18"/>
        </w:rPr>
        <w:t>Awards</w:t>
      </w:r>
      <w:proofErr w:type="spellEnd"/>
      <w:r w:rsidRPr="00B426E5">
        <w:rPr>
          <w:rFonts w:ascii="Century Gothic" w:hAnsi="Century Gothic"/>
          <w:b/>
          <w:bCs/>
          <w:i/>
          <w:iCs/>
          <w:color w:val="000000"/>
          <w:sz w:val="18"/>
          <w:szCs w:val="18"/>
        </w:rPr>
        <w:t xml:space="preserve"> de Forbes Travel Guide; y “Aerolínea de Clase Mundial APEX 2025” por su excelente servicio al cliente.</w:t>
      </w:r>
    </w:p>
    <w:p w14:paraId="6B55B2A4" w14:textId="77777777" w:rsidR="00B426E5" w:rsidRPr="00B426E5" w:rsidRDefault="00B426E5" w:rsidP="00B426E5">
      <w:pPr>
        <w:pBdr>
          <w:top w:val="nil"/>
          <w:left w:val="nil"/>
          <w:bottom w:val="nil"/>
          <w:right w:val="nil"/>
          <w:between w:val="nil"/>
        </w:pBdr>
        <w:spacing w:before="280" w:line="360" w:lineRule="auto"/>
        <w:jc w:val="both"/>
        <w:rPr>
          <w:rFonts w:ascii="Century Gothic" w:hAnsi="Century Gothic"/>
          <w:b/>
          <w:bCs/>
          <w:i/>
          <w:iCs/>
          <w:color w:val="000000"/>
          <w:sz w:val="18"/>
          <w:szCs w:val="18"/>
        </w:rPr>
      </w:pPr>
    </w:p>
    <w:p w14:paraId="69A0898F" w14:textId="77777777" w:rsidR="00900AE3" w:rsidRDefault="00900AE3" w:rsidP="00582394">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900AE3">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E0178" w14:textId="77777777" w:rsidR="00BA2F01" w:rsidRDefault="00BA2F01">
      <w:r>
        <w:separator/>
      </w:r>
    </w:p>
  </w:endnote>
  <w:endnote w:type="continuationSeparator" w:id="0">
    <w:p w14:paraId="0F01FA23" w14:textId="77777777" w:rsidR="00BA2F01" w:rsidRDefault="00BA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30CAB751-24C6-46E8-AC36-6A88996336C5}"/>
    <w:embedBold r:id="rId2" w:fontKey="{35E1BCB3-2664-4C36-B159-3311B28ED21D}"/>
    <w:embedBoldItalic r:id="rId3" w:fontKey="{37795ADF-7DCC-480D-8B87-510325494B2A}"/>
  </w:font>
  <w:font w:name="Georgia">
    <w:panose1 w:val="02040502050405020303"/>
    <w:charset w:val="00"/>
    <w:family w:val="roman"/>
    <w:pitch w:val="variable"/>
    <w:sig w:usb0="00000287" w:usb1="00000000" w:usb2="00000000" w:usb3="00000000" w:csb0="0000009F" w:csb1="00000000"/>
    <w:embedRegular r:id="rId4" w:fontKey="{34BB5A21-B7C7-4550-9139-48407D7DA24A}"/>
    <w:embedItalic r:id="rId5" w:fontKey="{4AC1FADA-3923-4E63-BE27-C6D9AFC714BB}"/>
  </w:font>
  <w:font w:name="Calibri">
    <w:panose1 w:val="020F0502020204030204"/>
    <w:charset w:val="00"/>
    <w:family w:val="swiss"/>
    <w:pitch w:val="variable"/>
    <w:sig w:usb0="E4002EFF" w:usb1="C200247B" w:usb2="00000009" w:usb3="00000000" w:csb0="000001FF" w:csb1="00000000"/>
    <w:embedRegular r:id="rId6" w:fontKey="{5EA51160-7EF4-4B5B-960F-EC8D991C13D0}"/>
  </w:font>
  <w:font w:name="Cambria">
    <w:panose1 w:val="02040503050406030204"/>
    <w:charset w:val="00"/>
    <w:family w:val="roman"/>
    <w:pitch w:val="variable"/>
    <w:sig w:usb0="E00006FF" w:usb1="420024FF" w:usb2="02000000" w:usb3="00000000" w:csb0="0000019F" w:csb1="00000000"/>
    <w:embedRegular r:id="rId7" w:fontKey="{8431B7B8-B94B-44E9-91EE-4594F788054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2CB5E" w14:textId="77777777" w:rsidR="00BA2F01" w:rsidRDefault="00BA2F01">
      <w:r>
        <w:separator/>
      </w:r>
    </w:p>
  </w:footnote>
  <w:footnote w:type="continuationSeparator" w:id="0">
    <w:p w14:paraId="5916EEAA" w14:textId="77777777" w:rsidR="00BA2F01" w:rsidRDefault="00BA2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D3A5" w14:textId="77777777" w:rsidR="002A554A"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2164F7F3" wp14:editId="3988E78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2A34E6A"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4E03FA72"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09ABBB44"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1C3BCDA3"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3D4CA6F4"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F46"/>
    <w:multiLevelType w:val="hybridMultilevel"/>
    <w:tmpl w:val="0C6A82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427A0F"/>
    <w:multiLevelType w:val="hybridMultilevel"/>
    <w:tmpl w:val="E5488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E94710"/>
    <w:multiLevelType w:val="hybridMultilevel"/>
    <w:tmpl w:val="ECA65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0D2840"/>
    <w:multiLevelType w:val="hybridMultilevel"/>
    <w:tmpl w:val="D390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5746B"/>
    <w:multiLevelType w:val="hybridMultilevel"/>
    <w:tmpl w:val="EA068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A384AD0"/>
    <w:multiLevelType w:val="hybridMultilevel"/>
    <w:tmpl w:val="B664A5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A83F7D"/>
    <w:multiLevelType w:val="hybridMultilevel"/>
    <w:tmpl w:val="F976B3E0"/>
    <w:lvl w:ilvl="0" w:tplc="2C54E4F4">
      <w:numFmt w:val="bullet"/>
      <w:lvlText w:val="-"/>
      <w:lvlJc w:val="left"/>
      <w:pPr>
        <w:ind w:left="720" w:hanging="360"/>
      </w:pPr>
      <w:rPr>
        <w:rFonts w:ascii="Century Gothic" w:eastAsia="Century Gothic" w:hAnsi="Century Gothic" w:cs="Century Gothic" w:hint="default"/>
        <w:b/>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5746A9"/>
    <w:multiLevelType w:val="hybridMultilevel"/>
    <w:tmpl w:val="F4E6A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4E2EF3"/>
    <w:multiLevelType w:val="multilevel"/>
    <w:tmpl w:val="D7FE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6F4793"/>
    <w:multiLevelType w:val="hybridMultilevel"/>
    <w:tmpl w:val="1C3E01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7F1B34"/>
    <w:multiLevelType w:val="hybridMultilevel"/>
    <w:tmpl w:val="9356D5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2E5749"/>
    <w:multiLevelType w:val="hybridMultilevel"/>
    <w:tmpl w:val="9BD81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97979BD"/>
    <w:multiLevelType w:val="hybridMultilevel"/>
    <w:tmpl w:val="FEBC4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AB36919"/>
    <w:multiLevelType w:val="hybridMultilevel"/>
    <w:tmpl w:val="6C20A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BF37427"/>
    <w:multiLevelType w:val="hybridMultilevel"/>
    <w:tmpl w:val="4CB2DC86"/>
    <w:lvl w:ilvl="0" w:tplc="4C4EB244">
      <w:numFmt w:val="bullet"/>
      <w:lvlText w:val="·"/>
      <w:lvlJc w:val="left"/>
      <w:pPr>
        <w:ind w:left="1056" w:hanging="696"/>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CF920FE"/>
    <w:multiLevelType w:val="hybridMultilevel"/>
    <w:tmpl w:val="EE32A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D660DB7"/>
    <w:multiLevelType w:val="multilevel"/>
    <w:tmpl w:val="B05E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3C5A7C"/>
    <w:multiLevelType w:val="hybridMultilevel"/>
    <w:tmpl w:val="0204BD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5F85230"/>
    <w:multiLevelType w:val="hybridMultilevel"/>
    <w:tmpl w:val="98EACC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6554DF6"/>
    <w:multiLevelType w:val="multilevel"/>
    <w:tmpl w:val="3D50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5F6D51"/>
    <w:multiLevelType w:val="hybridMultilevel"/>
    <w:tmpl w:val="1B5C0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2785FCB"/>
    <w:multiLevelType w:val="hybridMultilevel"/>
    <w:tmpl w:val="672E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B5758D"/>
    <w:multiLevelType w:val="hybridMultilevel"/>
    <w:tmpl w:val="F6B29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76C6EAF"/>
    <w:multiLevelType w:val="hybridMultilevel"/>
    <w:tmpl w:val="E536F8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9390315"/>
    <w:multiLevelType w:val="hybridMultilevel"/>
    <w:tmpl w:val="C64E49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5726D6B"/>
    <w:multiLevelType w:val="hybridMultilevel"/>
    <w:tmpl w:val="C1F45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E5B3E2B"/>
    <w:multiLevelType w:val="multilevel"/>
    <w:tmpl w:val="6F3C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F03EF0"/>
    <w:multiLevelType w:val="hybridMultilevel"/>
    <w:tmpl w:val="5BCABA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48E1C6C"/>
    <w:multiLevelType w:val="hybridMultilevel"/>
    <w:tmpl w:val="23327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92133B"/>
    <w:multiLevelType w:val="multilevel"/>
    <w:tmpl w:val="DBCC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A5EBB"/>
    <w:multiLevelType w:val="hybridMultilevel"/>
    <w:tmpl w:val="CD9448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B7A2E9D"/>
    <w:multiLevelType w:val="hybridMultilevel"/>
    <w:tmpl w:val="E19230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D280155"/>
    <w:multiLevelType w:val="hybridMultilevel"/>
    <w:tmpl w:val="70ACFD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D390CF6"/>
    <w:multiLevelType w:val="multilevel"/>
    <w:tmpl w:val="D7A46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5D91459"/>
    <w:multiLevelType w:val="multilevel"/>
    <w:tmpl w:val="8A4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AC246A"/>
    <w:multiLevelType w:val="hybridMultilevel"/>
    <w:tmpl w:val="8214A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96935DF"/>
    <w:multiLevelType w:val="hybridMultilevel"/>
    <w:tmpl w:val="F3521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766D88"/>
    <w:multiLevelType w:val="hybridMultilevel"/>
    <w:tmpl w:val="9F786B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E7D7D85"/>
    <w:multiLevelType w:val="hybridMultilevel"/>
    <w:tmpl w:val="6A3CE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F556D92"/>
    <w:multiLevelType w:val="hybridMultilevel"/>
    <w:tmpl w:val="7D0E0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3763EB9"/>
    <w:multiLevelType w:val="hybridMultilevel"/>
    <w:tmpl w:val="1FA8B4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6FF7345"/>
    <w:multiLevelType w:val="multilevel"/>
    <w:tmpl w:val="BC34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201EE3"/>
    <w:multiLevelType w:val="hybridMultilevel"/>
    <w:tmpl w:val="20DCE28A"/>
    <w:lvl w:ilvl="0" w:tplc="069E23F6">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58277486">
    <w:abstractNumId w:val="33"/>
  </w:num>
  <w:num w:numId="2" w16cid:durableId="1893344281">
    <w:abstractNumId w:val="7"/>
  </w:num>
  <w:num w:numId="3" w16cid:durableId="30424713">
    <w:abstractNumId w:val="27"/>
  </w:num>
  <w:num w:numId="4" w16cid:durableId="1589847090">
    <w:abstractNumId w:val="32"/>
  </w:num>
  <w:num w:numId="5" w16cid:durableId="555580128">
    <w:abstractNumId w:val="25"/>
  </w:num>
  <w:num w:numId="6" w16cid:durableId="1738354186">
    <w:abstractNumId w:val="39"/>
  </w:num>
  <w:num w:numId="7" w16cid:durableId="1893540188">
    <w:abstractNumId w:val="42"/>
  </w:num>
  <w:num w:numId="8" w16cid:durableId="686754444">
    <w:abstractNumId w:val="8"/>
  </w:num>
  <w:num w:numId="9" w16cid:durableId="1419711579">
    <w:abstractNumId w:val="15"/>
  </w:num>
  <w:num w:numId="10" w16cid:durableId="1914927177">
    <w:abstractNumId w:val="28"/>
  </w:num>
  <w:num w:numId="11" w16cid:durableId="1698653053">
    <w:abstractNumId w:val="38"/>
  </w:num>
  <w:num w:numId="12" w16cid:durableId="131293694">
    <w:abstractNumId w:val="11"/>
  </w:num>
  <w:num w:numId="13" w16cid:durableId="1093479040">
    <w:abstractNumId w:val="12"/>
  </w:num>
  <w:num w:numId="14" w16cid:durableId="104539555">
    <w:abstractNumId w:val="16"/>
  </w:num>
  <w:num w:numId="15" w16cid:durableId="54404035">
    <w:abstractNumId w:val="20"/>
  </w:num>
  <w:num w:numId="16" w16cid:durableId="1991902034">
    <w:abstractNumId w:val="0"/>
  </w:num>
  <w:num w:numId="17" w16cid:durableId="2111047787">
    <w:abstractNumId w:val="21"/>
  </w:num>
  <w:num w:numId="18" w16cid:durableId="810366165">
    <w:abstractNumId w:val="9"/>
  </w:num>
  <w:num w:numId="19" w16cid:durableId="1333341022">
    <w:abstractNumId w:val="36"/>
  </w:num>
  <w:num w:numId="20" w16cid:durableId="624045821">
    <w:abstractNumId w:val="30"/>
  </w:num>
  <w:num w:numId="21" w16cid:durableId="1342471440">
    <w:abstractNumId w:val="26"/>
  </w:num>
  <w:num w:numId="22" w16cid:durableId="92240824">
    <w:abstractNumId w:val="18"/>
  </w:num>
  <w:num w:numId="23" w16cid:durableId="459612739">
    <w:abstractNumId w:val="17"/>
  </w:num>
  <w:num w:numId="24" w16cid:durableId="831022129">
    <w:abstractNumId w:val="4"/>
  </w:num>
  <w:num w:numId="25" w16cid:durableId="120155785">
    <w:abstractNumId w:val="31"/>
  </w:num>
  <w:num w:numId="26" w16cid:durableId="1322659299">
    <w:abstractNumId w:val="3"/>
  </w:num>
  <w:num w:numId="27" w16cid:durableId="1248688506">
    <w:abstractNumId w:val="13"/>
  </w:num>
  <w:num w:numId="28" w16cid:durableId="632105105">
    <w:abstractNumId w:val="1"/>
  </w:num>
  <w:num w:numId="29" w16cid:durableId="215745165">
    <w:abstractNumId w:val="19"/>
  </w:num>
  <w:num w:numId="30" w16cid:durableId="1654723005">
    <w:abstractNumId w:val="24"/>
  </w:num>
  <w:num w:numId="31" w16cid:durableId="118499714">
    <w:abstractNumId w:val="29"/>
  </w:num>
  <w:num w:numId="32" w16cid:durableId="1591308323">
    <w:abstractNumId w:val="22"/>
  </w:num>
  <w:num w:numId="33" w16cid:durableId="1058016054">
    <w:abstractNumId w:val="34"/>
  </w:num>
  <w:num w:numId="34" w16cid:durableId="1759986848">
    <w:abstractNumId w:val="37"/>
  </w:num>
  <w:num w:numId="35" w16cid:durableId="1737822950">
    <w:abstractNumId w:val="23"/>
  </w:num>
  <w:num w:numId="36" w16cid:durableId="1683161940">
    <w:abstractNumId w:val="35"/>
  </w:num>
  <w:num w:numId="37" w16cid:durableId="1139423932">
    <w:abstractNumId w:val="2"/>
  </w:num>
  <w:num w:numId="38" w16cid:durableId="628559372">
    <w:abstractNumId w:val="14"/>
  </w:num>
  <w:num w:numId="39" w16cid:durableId="49883302">
    <w:abstractNumId w:val="10"/>
  </w:num>
  <w:num w:numId="40" w16cid:durableId="1419449636">
    <w:abstractNumId w:val="41"/>
  </w:num>
  <w:num w:numId="41" w16cid:durableId="247469126">
    <w:abstractNumId w:val="40"/>
  </w:num>
  <w:num w:numId="42" w16cid:durableId="1702706029">
    <w:abstractNumId w:val="6"/>
  </w:num>
  <w:num w:numId="43" w16cid:durableId="72095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EE9"/>
    <w:rsid w:val="00001765"/>
    <w:rsid w:val="00043034"/>
    <w:rsid w:val="00043A4D"/>
    <w:rsid w:val="00062412"/>
    <w:rsid w:val="000836B3"/>
    <w:rsid w:val="000B7DBD"/>
    <w:rsid w:val="000D6301"/>
    <w:rsid w:val="000E5888"/>
    <w:rsid w:val="000F1853"/>
    <w:rsid w:val="000F39B7"/>
    <w:rsid w:val="000F414C"/>
    <w:rsid w:val="000F6241"/>
    <w:rsid w:val="00105BA9"/>
    <w:rsid w:val="00106BFD"/>
    <w:rsid w:val="00112B06"/>
    <w:rsid w:val="00114501"/>
    <w:rsid w:val="001211D3"/>
    <w:rsid w:val="001263AF"/>
    <w:rsid w:val="00136E76"/>
    <w:rsid w:val="00142938"/>
    <w:rsid w:val="00143350"/>
    <w:rsid w:val="0016064C"/>
    <w:rsid w:val="001717F9"/>
    <w:rsid w:val="00173AF1"/>
    <w:rsid w:val="001A7509"/>
    <w:rsid w:val="001B48E0"/>
    <w:rsid w:val="001C22A7"/>
    <w:rsid w:val="001C7635"/>
    <w:rsid w:val="001E742D"/>
    <w:rsid w:val="001F22B0"/>
    <w:rsid w:val="002048F7"/>
    <w:rsid w:val="00205F58"/>
    <w:rsid w:val="0021597F"/>
    <w:rsid w:val="00222295"/>
    <w:rsid w:val="00227A5B"/>
    <w:rsid w:val="00237C65"/>
    <w:rsid w:val="00252514"/>
    <w:rsid w:val="00253C33"/>
    <w:rsid w:val="002804B0"/>
    <w:rsid w:val="00287A1C"/>
    <w:rsid w:val="00291D96"/>
    <w:rsid w:val="002A3AB6"/>
    <w:rsid w:val="002A554A"/>
    <w:rsid w:val="002C3230"/>
    <w:rsid w:val="002D1EDA"/>
    <w:rsid w:val="002F4E87"/>
    <w:rsid w:val="002F6311"/>
    <w:rsid w:val="003144BC"/>
    <w:rsid w:val="00314866"/>
    <w:rsid w:val="003239BA"/>
    <w:rsid w:val="00324CB4"/>
    <w:rsid w:val="00330823"/>
    <w:rsid w:val="003447C8"/>
    <w:rsid w:val="00363627"/>
    <w:rsid w:val="0036509C"/>
    <w:rsid w:val="00367AAA"/>
    <w:rsid w:val="003811C2"/>
    <w:rsid w:val="003831B8"/>
    <w:rsid w:val="003A5FAA"/>
    <w:rsid w:val="003C5F48"/>
    <w:rsid w:val="003D175A"/>
    <w:rsid w:val="003D373F"/>
    <w:rsid w:val="003E6F12"/>
    <w:rsid w:val="003F310A"/>
    <w:rsid w:val="00400E30"/>
    <w:rsid w:val="00404333"/>
    <w:rsid w:val="00416509"/>
    <w:rsid w:val="00431428"/>
    <w:rsid w:val="0043787B"/>
    <w:rsid w:val="004B62B2"/>
    <w:rsid w:val="004C0114"/>
    <w:rsid w:val="004C1EF0"/>
    <w:rsid w:val="004D1159"/>
    <w:rsid w:val="004E208F"/>
    <w:rsid w:val="004E50D9"/>
    <w:rsid w:val="004F020A"/>
    <w:rsid w:val="004F3727"/>
    <w:rsid w:val="004F771A"/>
    <w:rsid w:val="005061EC"/>
    <w:rsid w:val="005100AA"/>
    <w:rsid w:val="005143F5"/>
    <w:rsid w:val="00537A86"/>
    <w:rsid w:val="00540D73"/>
    <w:rsid w:val="0054153E"/>
    <w:rsid w:val="00547371"/>
    <w:rsid w:val="00550FDC"/>
    <w:rsid w:val="0056135F"/>
    <w:rsid w:val="00561FCD"/>
    <w:rsid w:val="00566268"/>
    <w:rsid w:val="0057361C"/>
    <w:rsid w:val="00582394"/>
    <w:rsid w:val="00587EB9"/>
    <w:rsid w:val="005A76C1"/>
    <w:rsid w:val="005B15E3"/>
    <w:rsid w:val="005D7520"/>
    <w:rsid w:val="005E616D"/>
    <w:rsid w:val="0060643D"/>
    <w:rsid w:val="00617B3F"/>
    <w:rsid w:val="00620CB3"/>
    <w:rsid w:val="00674755"/>
    <w:rsid w:val="00681E21"/>
    <w:rsid w:val="00686D11"/>
    <w:rsid w:val="006B7EE9"/>
    <w:rsid w:val="006D1052"/>
    <w:rsid w:val="006D4EBC"/>
    <w:rsid w:val="006E06CD"/>
    <w:rsid w:val="006E160C"/>
    <w:rsid w:val="006F413C"/>
    <w:rsid w:val="0071126E"/>
    <w:rsid w:val="007165C0"/>
    <w:rsid w:val="00717456"/>
    <w:rsid w:val="00723CF9"/>
    <w:rsid w:val="007311CB"/>
    <w:rsid w:val="00735124"/>
    <w:rsid w:val="00735353"/>
    <w:rsid w:val="00742AA6"/>
    <w:rsid w:val="00744D64"/>
    <w:rsid w:val="00776851"/>
    <w:rsid w:val="00784543"/>
    <w:rsid w:val="00785A87"/>
    <w:rsid w:val="007A3E2B"/>
    <w:rsid w:val="007C410D"/>
    <w:rsid w:val="007C53BC"/>
    <w:rsid w:val="007C64D5"/>
    <w:rsid w:val="007D55D5"/>
    <w:rsid w:val="007E4423"/>
    <w:rsid w:val="007E7416"/>
    <w:rsid w:val="007F4535"/>
    <w:rsid w:val="007F7055"/>
    <w:rsid w:val="00814013"/>
    <w:rsid w:val="00817B1C"/>
    <w:rsid w:val="00833B9E"/>
    <w:rsid w:val="008524CF"/>
    <w:rsid w:val="00871195"/>
    <w:rsid w:val="00886CE8"/>
    <w:rsid w:val="008A1C33"/>
    <w:rsid w:val="008D6C65"/>
    <w:rsid w:val="00900AE3"/>
    <w:rsid w:val="0091795F"/>
    <w:rsid w:val="00933954"/>
    <w:rsid w:val="0093510E"/>
    <w:rsid w:val="00936B8C"/>
    <w:rsid w:val="009575C8"/>
    <w:rsid w:val="00975CC8"/>
    <w:rsid w:val="009A094F"/>
    <w:rsid w:val="009A1F97"/>
    <w:rsid w:val="009A4A2C"/>
    <w:rsid w:val="009B1EE9"/>
    <w:rsid w:val="009C108E"/>
    <w:rsid w:val="009C5137"/>
    <w:rsid w:val="009C69DC"/>
    <w:rsid w:val="009F0C05"/>
    <w:rsid w:val="009F36CA"/>
    <w:rsid w:val="009F43E7"/>
    <w:rsid w:val="00A00436"/>
    <w:rsid w:val="00A00925"/>
    <w:rsid w:val="00A16676"/>
    <w:rsid w:val="00A25F0C"/>
    <w:rsid w:val="00A3371E"/>
    <w:rsid w:val="00A339D1"/>
    <w:rsid w:val="00A46079"/>
    <w:rsid w:val="00A65B4C"/>
    <w:rsid w:val="00A72164"/>
    <w:rsid w:val="00A925F3"/>
    <w:rsid w:val="00A94CFE"/>
    <w:rsid w:val="00AD3EA6"/>
    <w:rsid w:val="00AE31C9"/>
    <w:rsid w:val="00AE5DD3"/>
    <w:rsid w:val="00AF33DF"/>
    <w:rsid w:val="00AF5C72"/>
    <w:rsid w:val="00B013DA"/>
    <w:rsid w:val="00B0240A"/>
    <w:rsid w:val="00B06C1E"/>
    <w:rsid w:val="00B21D8D"/>
    <w:rsid w:val="00B2308F"/>
    <w:rsid w:val="00B426E5"/>
    <w:rsid w:val="00B46478"/>
    <w:rsid w:val="00B50837"/>
    <w:rsid w:val="00B55856"/>
    <w:rsid w:val="00B725C6"/>
    <w:rsid w:val="00B7308A"/>
    <w:rsid w:val="00B74B53"/>
    <w:rsid w:val="00BA2F01"/>
    <w:rsid w:val="00BA3FBC"/>
    <w:rsid w:val="00BB127C"/>
    <w:rsid w:val="00BB60D2"/>
    <w:rsid w:val="00BC3295"/>
    <w:rsid w:val="00BC421D"/>
    <w:rsid w:val="00BC49F7"/>
    <w:rsid w:val="00BD0900"/>
    <w:rsid w:val="00BE0903"/>
    <w:rsid w:val="00C03097"/>
    <w:rsid w:val="00C23D0A"/>
    <w:rsid w:val="00C3126A"/>
    <w:rsid w:val="00C63973"/>
    <w:rsid w:val="00C656E8"/>
    <w:rsid w:val="00C86A90"/>
    <w:rsid w:val="00C87754"/>
    <w:rsid w:val="00CA36A2"/>
    <w:rsid w:val="00CB24E3"/>
    <w:rsid w:val="00CD1153"/>
    <w:rsid w:val="00CE1446"/>
    <w:rsid w:val="00CE5AD1"/>
    <w:rsid w:val="00D12AFF"/>
    <w:rsid w:val="00D17A1E"/>
    <w:rsid w:val="00D229FE"/>
    <w:rsid w:val="00D26208"/>
    <w:rsid w:val="00D3032D"/>
    <w:rsid w:val="00D44CB9"/>
    <w:rsid w:val="00D46B3B"/>
    <w:rsid w:val="00D575B8"/>
    <w:rsid w:val="00D90A84"/>
    <w:rsid w:val="00DA4DE7"/>
    <w:rsid w:val="00DA5878"/>
    <w:rsid w:val="00DB27CD"/>
    <w:rsid w:val="00DD11EF"/>
    <w:rsid w:val="00DF44D5"/>
    <w:rsid w:val="00E2416D"/>
    <w:rsid w:val="00E3012B"/>
    <w:rsid w:val="00E35408"/>
    <w:rsid w:val="00E6419E"/>
    <w:rsid w:val="00E64206"/>
    <w:rsid w:val="00E671C6"/>
    <w:rsid w:val="00E70EA7"/>
    <w:rsid w:val="00E9059C"/>
    <w:rsid w:val="00EA04ED"/>
    <w:rsid w:val="00EC198C"/>
    <w:rsid w:val="00EE0588"/>
    <w:rsid w:val="00EE53A7"/>
    <w:rsid w:val="00EF3EE2"/>
    <w:rsid w:val="00F1677B"/>
    <w:rsid w:val="00F21527"/>
    <w:rsid w:val="00F25906"/>
    <w:rsid w:val="00F25EBE"/>
    <w:rsid w:val="00F44410"/>
    <w:rsid w:val="00F476C2"/>
    <w:rsid w:val="00F5672C"/>
    <w:rsid w:val="00F61FE7"/>
    <w:rsid w:val="00F63DC5"/>
    <w:rsid w:val="00F765BE"/>
    <w:rsid w:val="00F822F7"/>
    <w:rsid w:val="00F84D97"/>
    <w:rsid w:val="00FB309A"/>
    <w:rsid w:val="00FB7147"/>
    <w:rsid w:val="00FC0131"/>
    <w:rsid w:val="00FD03C2"/>
    <w:rsid w:val="00FD2ABE"/>
    <w:rsid w:val="00FE7CE2"/>
    <w:rsid w:val="00FF73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B5DE"/>
  <w15:docId w15:val="{5A473E5E-A26D-42D8-BED1-AE83CD43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Fuerte">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Pr>
  </w:style>
  <w:style w:type="character" w:styleId="nfasis">
    <w:name w:val="Emphasis"/>
    <w:basedOn w:val="Fuentedeprrafopredeter"/>
    <w:uiPriority w:val="20"/>
    <w:qFormat/>
    <w:rsid w:val="000D63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2926">
      <w:bodyDiv w:val="1"/>
      <w:marLeft w:val="0"/>
      <w:marRight w:val="0"/>
      <w:marTop w:val="0"/>
      <w:marBottom w:val="0"/>
      <w:divBdr>
        <w:top w:val="none" w:sz="0" w:space="0" w:color="auto"/>
        <w:left w:val="none" w:sz="0" w:space="0" w:color="auto"/>
        <w:bottom w:val="none" w:sz="0" w:space="0" w:color="auto"/>
        <w:right w:val="none" w:sz="0" w:space="0" w:color="auto"/>
      </w:divBdr>
    </w:div>
    <w:div w:id="356347260">
      <w:bodyDiv w:val="1"/>
      <w:marLeft w:val="0"/>
      <w:marRight w:val="0"/>
      <w:marTop w:val="0"/>
      <w:marBottom w:val="0"/>
      <w:divBdr>
        <w:top w:val="none" w:sz="0" w:space="0" w:color="auto"/>
        <w:left w:val="none" w:sz="0" w:space="0" w:color="auto"/>
        <w:bottom w:val="none" w:sz="0" w:space="0" w:color="auto"/>
        <w:right w:val="none" w:sz="0" w:space="0" w:color="auto"/>
      </w:divBdr>
    </w:div>
    <w:div w:id="448086820">
      <w:bodyDiv w:val="1"/>
      <w:marLeft w:val="0"/>
      <w:marRight w:val="0"/>
      <w:marTop w:val="0"/>
      <w:marBottom w:val="0"/>
      <w:divBdr>
        <w:top w:val="none" w:sz="0" w:space="0" w:color="auto"/>
        <w:left w:val="none" w:sz="0" w:space="0" w:color="auto"/>
        <w:bottom w:val="none" w:sz="0" w:space="0" w:color="auto"/>
        <w:right w:val="none" w:sz="0" w:space="0" w:color="auto"/>
      </w:divBdr>
    </w:div>
    <w:div w:id="607858783">
      <w:bodyDiv w:val="1"/>
      <w:marLeft w:val="0"/>
      <w:marRight w:val="0"/>
      <w:marTop w:val="0"/>
      <w:marBottom w:val="0"/>
      <w:divBdr>
        <w:top w:val="none" w:sz="0" w:space="0" w:color="auto"/>
        <w:left w:val="none" w:sz="0" w:space="0" w:color="auto"/>
        <w:bottom w:val="none" w:sz="0" w:space="0" w:color="auto"/>
        <w:right w:val="none" w:sz="0" w:space="0" w:color="auto"/>
      </w:divBdr>
    </w:div>
    <w:div w:id="632298860">
      <w:bodyDiv w:val="1"/>
      <w:marLeft w:val="0"/>
      <w:marRight w:val="0"/>
      <w:marTop w:val="0"/>
      <w:marBottom w:val="0"/>
      <w:divBdr>
        <w:top w:val="none" w:sz="0" w:space="0" w:color="auto"/>
        <w:left w:val="none" w:sz="0" w:space="0" w:color="auto"/>
        <w:bottom w:val="none" w:sz="0" w:space="0" w:color="auto"/>
        <w:right w:val="none" w:sz="0" w:space="0" w:color="auto"/>
      </w:divBdr>
    </w:div>
    <w:div w:id="644704068">
      <w:bodyDiv w:val="1"/>
      <w:marLeft w:val="0"/>
      <w:marRight w:val="0"/>
      <w:marTop w:val="0"/>
      <w:marBottom w:val="0"/>
      <w:divBdr>
        <w:top w:val="none" w:sz="0" w:space="0" w:color="auto"/>
        <w:left w:val="none" w:sz="0" w:space="0" w:color="auto"/>
        <w:bottom w:val="none" w:sz="0" w:space="0" w:color="auto"/>
        <w:right w:val="none" w:sz="0" w:space="0" w:color="auto"/>
      </w:divBdr>
    </w:div>
    <w:div w:id="661350434">
      <w:bodyDiv w:val="1"/>
      <w:marLeft w:val="0"/>
      <w:marRight w:val="0"/>
      <w:marTop w:val="0"/>
      <w:marBottom w:val="0"/>
      <w:divBdr>
        <w:top w:val="none" w:sz="0" w:space="0" w:color="auto"/>
        <w:left w:val="none" w:sz="0" w:space="0" w:color="auto"/>
        <w:bottom w:val="none" w:sz="0" w:space="0" w:color="auto"/>
        <w:right w:val="none" w:sz="0" w:space="0" w:color="auto"/>
      </w:divBdr>
    </w:div>
    <w:div w:id="714740227">
      <w:bodyDiv w:val="1"/>
      <w:marLeft w:val="0"/>
      <w:marRight w:val="0"/>
      <w:marTop w:val="0"/>
      <w:marBottom w:val="0"/>
      <w:divBdr>
        <w:top w:val="none" w:sz="0" w:space="0" w:color="auto"/>
        <w:left w:val="none" w:sz="0" w:space="0" w:color="auto"/>
        <w:bottom w:val="none" w:sz="0" w:space="0" w:color="auto"/>
        <w:right w:val="none" w:sz="0" w:space="0" w:color="auto"/>
      </w:divBdr>
    </w:div>
    <w:div w:id="734935831">
      <w:bodyDiv w:val="1"/>
      <w:marLeft w:val="0"/>
      <w:marRight w:val="0"/>
      <w:marTop w:val="0"/>
      <w:marBottom w:val="0"/>
      <w:divBdr>
        <w:top w:val="none" w:sz="0" w:space="0" w:color="auto"/>
        <w:left w:val="none" w:sz="0" w:space="0" w:color="auto"/>
        <w:bottom w:val="none" w:sz="0" w:space="0" w:color="auto"/>
        <w:right w:val="none" w:sz="0" w:space="0" w:color="auto"/>
      </w:divBdr>
    </w:div>
    <w:div w:id="771972287">
      <w:bodyDiv w:val="1"/>
      <w:marLeft w:val="0"/>
      <w:marRight w:val="0"/>
      <w:marTop w:val="0"/>
      <w:marBottom w:val="0"/>
      <w:divBdr>
        <w:top w:val="none" w:sz="0" w:space="0" w:color="auto"/>
        <w:left w:val="none" w:sz="0" w:space="0" w:color="auto"/>
        <w:bottom w:val="none" w:sz="0" w:space="0" w:color="auto"/>
        <w:right w:val="none" w:sz="0" w:space="0" w:color="auto"/>
      </w:divBdr>
    </w:div>
    <w:div w:id="991716558">
      <w:bodyDiv w:val="1"/>
      <w:marLeft w:val="0"/>
      <w:marRight w:val="0"/>
      <w:marTop w:val="0"/>
      <w:marBottom w:val="0"/>
      <w:divBdr>
        <w:top w:val="none" w:sz="0" w:space="0" w:color="auto"/>
        <w:left w:val="none" w:sz="0" w:space="0" w:color="auto"/>
        <w:bottom w:val="none" w:sz="0" w:space="0" w:color="auto"/>
        <w:right w:val="none" w:sz="0" w:space="0" w:color="auto"/>
      </w:divBdr>
    </w:div>
    <w:div w:id="1082410115">
      <w:bodyDiv w:val="1"/>
      <w:marLeft w:val="0"/>
      <w:marRight w:val="0"/>
      <w:marTop w:val="0"/>
      <w:marBottom w:val="0"/>
      <w:divBdr>
        <w:top w:val="none" w:sz="0" w:space="0" w:color="auto"/>
        <w:left w:val="none" w:sz="0" w:space="0" w:color="auto"/>
        <w:bottom w:val="none" w:sz="0" w:space="0" w:color="auto"/>
        <w:right w:val="none" w:sz="0" w:space="0" w:color="auto"/>
      </w:divBdr>
    </w:div>
    <w:div w:id="1091047474">
      <w:bodyDiv w:val="1"/>
      <w:marLeft w:val="0"/>
      <w:marRight w:val="0"/>
      <w:marTop w:val="0"/>
      <w:marBottom w:val="0"/>
      <w:divBdr>
        <w:top w:val="none" w:sz="0" w:space="0" w:color="auto"/>
        <w:left w:val="none" w:sz="0" w:space="0" w:color="auto"/>
        <w:bottom w:val="none" w:sz="0" w:space="0" w:color="auto"/>
        <w:right w:val="none" w:sz="0" w:space="0" w:color="auto"/>
      </w:divBdr>
    </w:div>
    <w:div w:id="1192299979">
      <w:bodyDiv w:val="1"/>
      <w:marLeft w:val="0"/>
      <w:marRight w:val="0"/>
      <w:marTop w:val="0"/>
      <w:marBottom w:val="0"/>
      <w:divBdr>
        <w:top w:val="none" w:sz="0" w:space="0" w:color="auto"/>
        <w:left w:val="none" w:sz="0" w:space="0" w:color="auto"/>
        <w:bottom w:val="none" w:sz="0" w:space="0" w:color="auto"/>
        <w:right w:val="none" w:sz="0" w:space="0" w:color="auto"/>
      </w:divBdr>
    </w:div>
    <w:div w:id="1250120535">
      <w:bodyDiv w:val="1"/>
      <w:marLeft w:val="0"/>
      <w:marRight w:val="0"/>
      <w:marTop w:val="0"/>
      <w:marBottom w:val="0"/>
      <w:divBdr>
        <w:top w:val="none" w:sz="0" w:space="0" w:color="auto"/>
        <w:left w:val="none" w:sz="0" w:space="0" w:color="auto"/>
        <w:bottom w:val="none" w:sz="0" w:space="0" w:color="auto"/>
        <w:right w:val="none" w:sz="0" w:space="0" w:color="auto"/>
      </w:divBdr>
    </w:div>
    <w:div w:id="1319381357">
      <w:bodyDiv w:val="1"/>
      <w:marLeft w:val="0"/>
      <w:marRight w:val="0"/>
      <w:marTop w:val="0"/>
      <w:marBottom w:val="0"/>
      <w:divBdr>
        <w:top w:val="none" w:sz="0" w:space="0" w:color="auto"/>
        <w:left w:val="none" w:sz="0" w:space="0" w:color="auto"/>
        <w:bottom w:val="none" w:sz="0" w:space="0" w:color="auto"/>
        <w:right w:val="none" w:sz="0" w:space="0" w:color="auto"/>
      </w:divBdr>
    </w:div>
    <w:div w:id="1328485171">
      <w:bodyDiv w:val="1"/>
      <w:marLeft w:val="0"/>
      <w:marRight w:val="0"/>
      <w:marTop w:val="0"/>
      <w:marBottom w:val="0"/>
      <w:divBdr>
        <w:top w:val="none" w:sz="0" w:space="0" w:color="auto"/>
        <w:left w:val="none" w:sz="0" w:space="0" w:color="auto"/>
        <w:bottom w:val="none" w:sz="0" w:space="0" w:color="auto"/>
        <w:right w:val="none" w:sz="0" w:space="0" w:color="auto"/>
      </w:divBdr>
    </w:div>
    <w:div w:id="1388070267">
      <w:bodyDiv w:val="1"/>
      <w:marLeft w:val="0"/>
      <w:marRight w:val="0"/>
      <w:marTop w:val="0"/>
      <w:marBottom w:val="0"/>
      <w:divBdr>
        <w:top w:val="none" w:sz="0" w:space="0" w:color="auto"/>
        <w:left w:val="none" w:sz="0" w:space="0" w:color="auto"/>
        <w:bottom w:val="none" w:sz="0" w:space="0" w:color="auto"/>
        <w:right w:val="none" w:sz="0" w:space="0" w:color="auto"/>
      </w:divBdr>
    </w:div>
    <w:div w:id="1463688996">
      <w:bodyDiv w:val="1"/>
      <w:marLeft w:val="0"/>
      <w:marRight w:val="0"/>
      <w:marTop w:val="0"/>
      <w:marBottom w:val="0"/>
      <w:divBdr>
        <w:top w:val="none" w:sz="0" w:space="0" w:color="auto"/>
        <w:left w:val="none" w:sz="0" w:space="0" w:color="auto"/>
        <w:bottom w:val="none" w:sz="0" w:space="0" w:color="auto"/>
        <w:right w:val="none" w:sz="0" w:space="0" w:color="auto"/>
      </w:divBdr>
      <w:divsChild>
        <w:div w:id="987979308">
          <w:marLeft w:val="0"/>
          <w:marRight w:val="0"/>
          <w:marTop w:val="0"/>
          <w:marBottom w:val="0"/>
          <w:divBdr>
            <w:top w:val="none" w:sz="0" w:space="0" w:color="auto"/>
            <w:left w:val="none" w:sz="0" w:space="0" w:color="auto"/>
            <w:bottom w:val="none" w:sz="0" w:space="0" w:color="auto"/>
            <w:right w:val="none" w:sz="0" w:space="0" w:color="auto"/>
          </w:divBdr>
        </w:div>
        <w:div w:id="1886017547">
          <w:marLeft w:val="0"/>
          <w:marRight w:val="0"/>
          <w:marTop w:val="0"/>
          <w:marBottom w:val="0"/>
          <w:divBdr>
            <w:top w:val="none" w:sz="0" w:space="0" w:color="auto"/>
            <w:left w:val="none" w:sz="0" w:space="0" w:color="auto"/>
            <w:bottom w:val="none" w:sz="0" w:space="0" w:color="auto"/>
            <w:right w:val="none" w:sz="0" w:space="0" w:color="auto"/>
          </w:divBdr>
        </w:div>
        <w:div w:id="873077994">
          <w:marLeft w:val="0"/>
          <w:marRight w:val="0"/>
          <w:marTop w:val="0"/>
          <w:marBottom w:val="0"/>
          <w:divBdr>
            <w:top w:val="none" w:sz="0" w:space="0" w:color="auto"/>
            <w:left w:val="none" w:sz="0" w:space="0" w:color="auto"/>
            <w:bottom w:val="none" w:sz="0" w:space="0" w:color="auto"/>
            <w:right w:val="none" w:sz="0" w:space="0" w:color="auto"/>
          </w:divBdr>
        </w:div>
      </w:divsChild>
    </w:div>
    <w:div w:id="1496606313">
      <w:bodyDiv w:val="1"/>
      <w:marLeft w:val="0"/>
      <w:marRight w:val="0"/>
      <w:marTop w:val="0"/>
      <w:marBottom w:val="0"/>
      <w:divBdr>
        <w:top w:val="none" w:sz="0" w:space="0" w:color="auto"/>
        <w:left w:val="none" w:sz="0" w:space="0" w:color="auto"/>
        <w:bottom w:val="none" w:sz="0" w:space="0" w:color="auto"/>
        <w:right w:val="none" w:sz="0" w:space="0" w:color="auto"/>
      </w:divBdr>
    </w:div>
    <w:div w:id="1610623814">
      <w:bodyDiv w:val="1"/>
      <w:marLeft w:val="0"/>
      <w:marRight w:val="0"/>
      <w:marTop w:val="0"/>
      <w:marBottom w:val="0"/>
      <w:divBdr>
        <w:top w:val="none" w:sz="0" w:space="0" w:color="auto"/>
        <w:left w:val="none" w:sz="0" w:space="0" w:color="auto"/>
        <w:bottom w:val="none" w:sz="0" w:space="0" w:color="auto"/>
        <w:right w:val="none" w:sz="0" w:space="0" w:color="auto"/>
      </w:divBdr>
    </w:div>
    <w:div w:id="1657420892">
      <w:bodyDiv w:val="1"/>
      <w:marLeft w:val="0"/>
      <w:marRight w:val="0"/>
      <w:marTop w:val="0"/>
      <w:marBottom w:val="0"/>
      <w:divBdr>
        <w:top w:val="none" w:sz="0" w:space="0" w:color="auto"/>
        <w:left w:val="none" w:sz="0" w:space="0" w:color="auto"/>
        <w:bottom w:val="none" w:sz="0" w:space="0" w:color="auto"/>
        <w:right w:val="none" w:sz="0" w:space="0" w:color="auto"/>
      </w:divBdr>
    </w:div>
    <w:div w:id="1716193147">
      <w:bodyDiv w:val="1"/>
      <w:marLeft w:val="0"/>
      <w:marRight w:val="0"/>
      <w:marTop w:val="0"/>
      <w:marBottom w:val="0"/>
      <w:divBdr>
        <w:top w:val="none" w:sz="0" w:space="0" w:color="auto"/>
        <w:left w:val="none" w:sz="0" w:space="0" w:color="auto"/>
        <w:bottom w:val="none" w:sz="0" w:space="0" w:color="auto"/>
        <w:right w:val="none" w:sz="0" w:space="0" w:color="auto"/>
      </w:divBdr>
    </w:div>
    <w:div w:id="2013019877">
      <w:bodyDiv w:val="1"/>
      <w:marLeft w:val="0"/>
      <w:marRight w:val="0"/>
      <w:marTop w:val="0"/>
      <w:marBottom w:val="0"/>
      <w:divBdr>
        <w:top w:val="none" w:sz="0" w:space="0" w:color="auto"/>
        <w:left w:val="none" w:sz="0" w:space="0" w:color="auto"/>
        <w:bottom w:val="none" w:sz="0" w:space="0" w:color="auto"/>
        <w:right w:val="none" w:sz="0" w:space="0" w:color="auto"/>
      </w:divBdr>
    </w:div>
    <w:div w:id="2092043502">
      <w:bodyDiv w:val="1"/>
      <w:marLeft w:val="0"/>
      <w:marRight w:val="0"/>
      <w:marTop w:val="0"/>
      <w:marBottom w:val="0"/>
      <w:divBdr>
        <w:top w:val="none" w:sz="0" w:space="0" w:color="auto"/>
        <w:left w:val="none" w:sz="0" w:space="0" w:color="auto"/>
        <w:bottom w:val="none" w:sz="0" w:space="0" w:color="auto"/>
        <w:right w:val="none" w:sz="0" w:space="0" w:color="auto"/>
      </w:divBdr>
      <w:divsChild>
        <w:div w:id="106433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229650">
              <w:marLeft w:val="0"/>
              <w:marRight w:val="0"/>
              <w:marTop w:val="0"/>
              <w:marBottom w:val="0"/>
              <w:divBdr>
                <w:top w:val="none" w:sz="0" w:space="0" w:color="auto"/>
                <w:left w:val="none" w:sz="0" w:space="0" w:color="auto"/>
                <w:bottom w:val="none" w:sz="0" w:space="0" w:color="auto"/>
                <w:right w:val="none" w:sz="0" w:space="0" w:color="auto"/>
              </w:divBdr>
              <w:divsChild>
                <w:div w:id="1915971007">
                  <w:marLeft w:val="0"/>
                  <w:marRight w:val="0"/>
                  <w:marTop w:val="0"/>
                  <w:marBottom w:val="0"/>
                  <w:divBdr>
                    <w:top w:val="none" w:sz="0" w:space="0" w:color="auto"/>
                    <w:left w:val="none" w:sz="0" w:space="0" w:color="auto"/>
                    <w:bottom w:val="none" w:sz="0" w:space="0" w:color="auto"/>
                    <w:right w:val="none" w:sz="0" w:space="0" w:color="auto"/>
                  </w:divBdr>
                  <w:divsChild>
                    <w:div w:id="1639991551">
                      <w:marLeft w:val="0"/>
                      <w:marRight w:val="0"/>
                      <w:marTop w:val="0"/>
                      <w:marBottom w:val="0"/>
                      <w:divBdr>
                        <w:top w:val="none" w:sz="0" w:space="0" w:color="auto"/>
                        <w:left w:val="none" w:sz="0" w:space="0" w:color="auto"/>
                        <w:bottom w:val="none" w:sz="0" w:space="0" w:color="auto"/>
                        <w:right w:val="none" w:sz="0" w:space="0" w:color="auto"/>
                      </w:divBdr>
                      <w:divsChild>
                        <w:div w:id="806435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0080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irate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1b9CkYT7isvakyPSsVLtQA2UCQ==">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732</Words>
  <Characters>4026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keywords>, docId:6D182F6BABB281A3C919F9849F49BDA7</cp:keywords>
  <cp:lastModifiedBy>Pablo Meister</cp:lastModifiedBy>
  <cp:revision>2</cp:revision>
  <dcterms:created xsi:type="dcterms:W3CDTF">2026-08-11T08:02:00Z</dcterms:created>
  <dcterms:modified xsi:type="dcterms:W3CDTF">2026-08-11T08:02:00Z</dcterms:modified>
</cp:coreProperties>
</file>