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360" w:lineRule="auto"/>
        <w:jc w:val="both"/>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Contacto:</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360" w:lineRule="auto"/>
        <w:jc w:val="both"/>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EMIRATES </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360" w:lineRule="auto"/>
        <w:jc w:val="both"/>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Sergat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360" w:lineRule="auto"/>
        <w:jc w:val="both"/>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Teléfono: 93 414 02 10</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360" w:lineRule="auto"/>
        <w:jc w:val="both"/>
        <w:rPr>
          <w:rFonts w:ascii="Cambria" w:cs="Cambria" w:eastAsia="Cambria" w:hAnsi="Cambria"/>
          <w:color w:val="000000"/>
        </w:rPr>
      </w:pPr>
      <w:r w:rsidDel="00000000" w:rsidR="00000000" w:rsidRPr="00000000">
        <w:rPr>
          <w:rFonts w:ascii="Century Gothic" w:cs="Century Gothic" w:eastAsia="Century Gothic" w:hAnsi="Century Gothic"/>
          <w:color w:val="000000"/>
          <w:sz w:val="18"/>
          <w:szCs w:val="18"/>
          <w:rtl w:val="0"/>
        </w:rPr>
        <w:t xml:space="preserve">Correo electrónico: </w:t>
      </w:r>
      <w:r w:rsidDel="00000000" w:rsidR="00000000" w:rsidRPr="00000000">
        <w:rPr>
          <w:rFonts w:ascii="Century Gothic" w:cs="Century Gothic" w:eastAsia="Century Gothic" w:hAnsi="Century Gothic"/>
          <w:color w:val="0000ff"/>
          <w:sz w:val="18"/>
          <w:szCs w:val="18"/>
          <w:rtl w:val="0"/>
        </w:rPr>
        <w:t xml:space="preserve">prensa@sergat.com   </w:t>
      </w:r>
      <w:r w:rsidDel="00000000" w:rsidR="00000000" w:rsidRPr="00000000">
        <w:rPr>
          <w:rtl w:val="0"/>
        </w:rPr>
      </w:r>
    </w:p>
    <w:tbl>
      <w:tblPr>
        <w:tblStyle w:val="Table1"/>
        <w:tblW w:w="5775.0" w:type="dxa"/>
        <w:jc w:val="center"/>
        <w:tblLayout w:type="fixed"/>
        <w:tblLook w:val="0400"/>
      </w:tblPr>
      <w:tblGrid>
        <w:gridCol w:w="5775"/>
        <w:tblGridChange w:id="0">
          <w:tblGrid>
            <w:gridCol w:w="5775"/>
          </w:tblGrid>
        </w:tblGridChange>
      </w:tblGrid>
      <w:tr>
        <w:trPr>
          <w:cantSplit w:val="0"/>
          <w:tblHeader w:val="0"/>
        </w:trPr>
        <w:tc>
          <w:tcPr>
            <w:vAlign w:val="center"/>
          </w:tcPr>
          <w:p w:rsidR="00000000" w:rsidDel="00000000" w:rsidP="00000000" w:rsidRDefault="00000000" w:rsidRPr="00000000" w14:paraId="00000006">
            <w:pPr>
              <w:jc w:val="center"/>
              <w:rPr>
                <w:sz w:val="20"/>
                <w:szCs w:val="20"/>
              </w:rPr>
            </w:pPr>
            <w:r w:rsidDel="00000000" w:rsidR="00000000" w:rsidRPr="00000000">
              <w:rPr>
                <w:rtl w:val="0"/>
              </w:rPr>
            </w:r>
          </w:p>
        </w:tc>
      </w:tr>
    </w:tbl>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28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Emirates y KHDA colaboran para posicionar Dubái como un destino de referencia para cursar estudios superiores</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280" w:line="360" w:lineRule="auto"/>
        <w:jc w:val="cente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La aerolínea también firma un MoU con ICEF, líder mundial en calidad y estándares para la captación internacional de estudiantes</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sz w:val="22"/>
          <w:szCs w:val="22"/>
          <w:rtl w:val="0"/>
        </w:rPr>
        <w:t xml:space="preserve">Dubái,</w:t>
      </w:r>
      <w:r w:rsidDel="00000000" w:rsidR="00000000" w:rsidRPr="00000000">
        <w:rPr>
          <w:rtl w:val="0"/>
        </w:rPr>
        <w:t xml:space="preserve"> </w:t>
      </w:r>
      <w:r w:rsidDel="00000000" w:rsidR="00000000" w:rsidRPr="00000000">
        <w:rPr>
          <w:rFonts w:ascii="Century Gothic" w:cs="Century Gothic" w:eastAsia="Century Gothic" w:hAnsi="Century Gothic"/>
          <w:b w:val="1"/>
          <w:bCs w:val="1"/>
          <w:sz w:val="22"/>
          <w:szCs w:val="22"/>
          <w:rtl w:val="0"/>
        </w:rPr>
        <w:t xml:space="preserve">EAU, 16 de septiembre de 2026: </w:t>
      </w:r>
      <w:r w:rsidDel="00000000" w:rsidR="00000000" w:rsidRPr="00000000">
        <w:rPr>
          <w:rFonts w:ascii="Century Gothic" w:cs="Century Gothic" w:eastAsia="Century Gothic" w:hAnsi="Century Gothic"/>
          <w:sz w:val="22"/>
          <w:szCs w:val="22"/>
          <w:rtl w:val="0"/>
        </w:rPr>
        <w:t xml:space="preserve">Emirates y la </w:t>
      </w:r>
      <w:r w:rsidDel="00000000" w:rsidR="00000000" w:rsidRPr="00000000">
        <w:rPr>
          <w:rFonts w:ascii="Century Gothic" w:cs="Century Gothic" w:eastAsia="Century Gothic" w:hAnsi="Century Gothic"/>
          <w:i w:val="1"/>
          <w:iCs w:val="1"/>
          <w:sz w:val="22"/>
          <w:szCs w:val="22"/>
          <w:rtl w:val="0"/>
        </w:rPr>
        <w:t xml:space="preserve">Knowledge and Human Development Authority (KHDA)</w:t>
      </w:r>
      <w:r w:rsidDel="00000000" w:rsidR="00000000" w:rsidRPr="00000000">
        <w:rPr>
          <w:rFonts w:ascii="Century Gothic" w:cs="Century Gothic" w:eastAsia="Century Gothic" w:hAnsi="Century Gothic"/>
          <w:sz w:val="22"/>
          <w:szCs w:val="22"/>
          <w:rtl w:val="0"/>
        </w:rPr>
        <w:t xml:space="preserve"> han firmado un memorando de entendimiento (MoU </w:t>
      </w:r>
      <w:r w:rsidDel="00000000" w:rsidR="00000000" w:rsidRPr="00000000">
        <w:rPr>
          <w:rFonts w:ascii="Century Gothic" w:cs="Century Gothic" w:eastAsia="Century Gothic" w:hAnsi="Century Gothic"/>
          <w:sz w:val="22"/>
          <w:szCs w:val="22"/>
          <w:rtl w:val="0"/>
        </w:rPr>
        <w:t xml:space="preserve">por sus siglas en inglés</w:t>
      </w:r>
      <w:r w:rsidDel="00000000" w:rsidR="00000000" w:rsidRPr="00000000">
        <w:rPr>
          <w:rFonts w:ascii="Century Gothic" w:cs="Century Gothic" w:eastAsia="Century Gothic" w:hAnsi="Century Gothic"/>
          <w:sz w:val="22"/>
          <w:szCs w:val="22"/>
          <w:rtl w:val="0"/>
        </w:rPr>
        <w:t xml:space="preserve">) para colaborar en iniciativas clave destinadas a impulsar la ambición de Dubái de convertirse en un destino global de referencia para la educación superior, los estudiantes internacionales y el aprendizaje permanente.</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La colaboración respalda los objetivos de la estrategia </w:t>
      </w:r>
      <w:r w:rsidDel="00000000" w:rsidR="00000000" w:rsidRPr="00000000">
        <w:rPr>
          <w:rFonts w:ascii="Century Gothic" w:cs="Century Gothic" w:eastAsia="Century Gothic" w:hAnsi="Century Gothic"/>
          <w:i w:val="1"/>
          <w:iCs w:val="1"/>
          <w:sz w:val="22"/>
          <w:szCs w:val="22"/>
          <w:rtl w:val="0"/>
        </w:rPr>
        <w:t xml:space="preserve">Education 33</w:t>
      </w:r>
      <w:r w:rsidDel="00000000" w:rsidR="00000000" w:rsidRPr="00000000">
        <w:rPr>
          <w:rFonts w:ascii="Century Gothic" w:cs="Century Gothic" w:eastAsia="Century Gothic" w:hAnsi="Century Gothic"/>
          <w:sz w:val="22"/>
          <w:szCs w:val="22"/>
          <w:rtl w:val="0"/>
        </w:rPr>
        <w:t xml:space="preserve"> (E33) de Dubái mediante la mejora de la accesibilidad para los estudiantes, el refuerzo de la conectividad internacional y la promoción de </w:t>
      </w:r>
      <w:r w:rsidDel="00000000" w:rsidR="00000000" w:rsidRPr="00000000">
        <w:rPr>
          <w:rFonts w:ascii="Century Gothic" w:cs="Century Gothic" w:eastAsia="Century Gothic" w:hAnsi="Century Gothic"/>
          <w:i w:val="1"/>
          <w:iCs w:val="1"/>
          <w:sz w:val="22"/>
          <w:szCs w:val="22"/>
          <w:rtl w:val="0"/>
        </w:rPr>
        <w:t xml:space="preserve">City of Students </w:t>
      </w:r>
      <w:r w:rsidDel="00000000" w:rsidR="00000000" w:rsidRPr="00000000">
        <w:rPr>
          <w:rFonts w:ascii="Century Gothic" w:cs="Century Gothic" w:eastAsia="Century Gothic" w:hAnsi="Century Gothic"/>
          <w:sz w:val="22"/>
          <w:szCs w:val="22"/>
          <w:rtl w:val="0"/>
        </w:rPr>
        <w:t xml:space="preserve">y del programa </w:t>
      </w:r>
      <w:r w:rsidDel="00000000" w:rsidR="00000000" w:rsidRPr="00000000">
        <w:rPr>
          <w:rFonts w:ascii="Century Gothic" w:cs="Century Gothic" w:eastAsia="Century Gothic" w:hAnsi="Century Gothic"/>
          <w:i w:val="1"/>
          <w:iCs w:val="1"/>
          <w:sz w:val="22"/>
          <w:szCs w:val="22"/>
          <w:rtl w:val="0"/>
        </w:rPr>
        <w:t xml:space="preserve">Study Dubai</w:t>
      </w:r>
      <w:r w:rsidDel="00000000" w:rsidR="00000000" w:rsidRPr="00000000">
        <w:rPr>
          <w:rFonts w:ascii="Century Gothic" w:cs="Century Gothic" w:eastAsia="Century Gothic" w:hAnsi="Century Gothic"/>
          <w:sz w:val="22"/>
          <w:szCs w:val="22"/>
          <w:rtl w:val="0"/>
        </w:rPr>
        <w:t xml:space="preserve"> en mercados internacionales clave.</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El MoU se firmó en el marco de </w:t>
      </w:r>
      <w:r w:rsidDel="00000000" w:rsidR="00000000" w:rsidRPr="00000000">
        <w:rPr>
          <w:rFonts w:ascii="Century Gothic" w:cs="Century Gothic" w:eastAsia="Century Gothic" w:hAnsi="Century Gothic"/>
          <w:i w:val="1"/>
          <w:iCs w:val="1"/>
          <w:sz w:val="22"/>
          <w:szCs w:val="22"/>
          <w:rtl w:val="0"/>
        </w:rPr>
        <w:t xml:space="preserve">Arabian Travel Market 2026 </w:t>
      </w:r>
      <w:r w:rsidDel="00000000" w:rsidR="00000000" w:rsidRPr="00000000">
        <w:rPr>
          <w:rFonts w:ascii="Century Gothic" w:cs="Century Gothic" w:eastAsia="Century Gothic" w:hAnsi="Century Gothic"/>
          <w:sz w:val="22"/>
          <w:szCs w:val="22"/>
          <w:rtl w:val="0"/>
        </w:rPr>
        <w:t xml:space="preserve">por Adnan Kazim, Deputy President y Chief Commercial Officer de Emirates, y el Dr. Wafi Dawood, CEO del Strategic Development Sector de KHDA.</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i w:val="1"/>
          <w:iCs w:val="1"/>
          <w:sz w:val="22"/>
          <w:szCs w:val="22"/>
        </w:rPr>
      </w:pPr>
      <w:r w:rsidDel="00000000" w:rsidR="00000000" w:rsidRPr="00000000">
        <w:rPr>
          <w:rFonts w:ascii="Century Gothic" w:cs="Century Gothic" w:eastAsia="Century Gothic" w:hAnsi="Century Gothic"/>
          <w:sz w:val="22"/>
          <w:szCs w:val="22"/>
          <w:rtl w:val="0"/>
        </w:rPr>
        <w:t xml:space="preserve">En virtud del MoU, Emirates desarrollará programas de viaje que incluirán una amplia variedad de beneficios y ventajas para los estudiantes de instituciones privadas de educación superior reguladas por KHDA. La propuesta conjunta de Emirates y KHDA para estudiantes incluye tarifas especialmente adaptadas, equipaje adicional y una mayor flexibilidad a la hora de reservar sus viajes hacia y desde Dubái y a través de la red de Emirates. El profesorado y el personal docente podrán acceder a beneficios de viaje a través del </w:t>
      </w:r>
      <w:r w:rsidDel="00000000" w:rsidR="00000000" w:rsidRPr="00000000">
        <w:rPr>
          <w:rFonts w:ascii="Century Gothic" w:cs="Century Gothic" w:eastAsia="Century Gothic" w:hAnsi="Century Gothic"/>
          <w:i w:val="1"/>
          <w:iCs w:val="1"/>
          <w:sz w:val="22"/>
          <w:szCs w:val="22"/>
          <w:rtl w:val="0"/>
        </w:rPr>
        <w:t xml:space="preserve">Emirates Academic Programme</w:t>
      </w:r>
      <w:r w:rsidDel="00000000" w:rsidR="00000000" w:rsidRPr="00000000">
        <w:rPr>
          <w:rFonts w:ascii="Century Gothic" w:cs="Century Gothic" w:eastAsia="Century Gothic" w:hAnsi="Century Gothic"/>
          <w:sz w:val="22"/>
          <w:szCs w:val="22"/>
          <w:rtl w:val="0"/>
        </w:rPr>
        <w:t xml:space="preserve">. La aerolínea también proporcionará asistencia de viaje específica para los estudiantes del </w:t>
      </w:r>
      <w:r w:rsidDel="00000000" w:rsidR="00000000" w:rsidRPr="00000000">
        <w:rPr>
          <w:rFonts w:ascii="Century Gothic" w:cs="Century Gothic" w:eastAsia="Century Gothic" w:hAnsi="Century Gothic"/>
          <w:i w:val="1"/>
          <w:iCs w:val="1"/>
          <w:sz w:val="22"/>
          <w:szCs w:val="22"/>
          <w:rtl w:val="0"/>
        </w:rPr>
        <w:t xml:space="preserve">Hamdan bin Mohammed Scholarship Programme.</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también participará, junto con KHDA, </w:t>
      </w:r>
      <w:r w:rsidDel="00000000" w:rsidR="00000000" w:rsidRPr="00000000">
        <w:rPr>
          <w:rFonts w:ascii="Century Gothic" w:cs="Century Gothic" w:eastAsia="Century Gothic" w:hAnsi="Century Gothic"/>
          <w:i w:val="1"/>
          <w:iCs w:val="1"/>
          <w:sz w:val="22"/>
          <w:szCs w:val="22"/>
          <w:rtl w:val="0"/>
        </w:rPr>
        <w:t xml:space="preserve">Dubai Department of Economy and Tourism y TECOM Group</w:t>
      </w:r>
      <w:r w:rsidDel="00000000" w:rsidR="00000000" w:rsidRPr="00000000">
        <w:rPr>
          <w:rFonts w:ascii="Century Gothic" w:cs="Century Gothic" w:eastAsia="Century Gothic" w:hAnsi="Century Gothic"/>
          <w:sz w:val="22"/>
          <w:szCs w:val="22"/>
          <w:rtl w:val="0"/>
        </w:rPr>
        <w:t xml:space="preserve">, en las misiones de captación de estudiantes de </w:t>
      </w:r>
      <w:r w:rsidDel="00000000" w:rsidR="00000000" w:rsidRPr="00000000">
        <w:rPr>
          <w:rFonts w:ascii="Century Gothic" w:cs="Century Gothic" w:eastAsia="Century Gothic" w:hAnsi="Century Gothic"/>
          <w:i w:val="1"/>
          <w:iCs w:val="1"/>
          <w:sz w:val="22"/>
          <w:szCs w:val="22"/>
          <w:rtl w:val="0"/>
        </w:rPr>
        <w:t xml:space="preserve">Study Dubai</w:t>
      </w:r>
      <w:r w:rsidDel="00000000" w:rsidR="00000000" w:rsidRPr="00000000">
        <w:rPr>
          <w:rFonts w:ascii="Century Gothic" w:cs="Century Gothic" w:eastAsia="Century Gothic" w:hAnsi="Century Gothic"/>
          <w:sz w:val="22"/>
          <w:szCs w:val="22"/>
          <w:rtl w:val="0"/>
        </w:rPr>
        <w:t xml:space="preserve"> y en eventos internacionales de activación, con el objetivo de promocionar Dubái como un destino atractivo para estudiar en mercados clave dentro de la red de Emirates. Emirates y KHDA también compartirán información sobre los flujos de viajes de estudiantes internacionales y coordinarán acciones conjuntas de marketing para posicionar Dubái como un destino líder de educación superior.</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Adnan Kazim, Deputy President y Chief Commercial Officer de Emirates, afirmó: “Emirates se enorgullece de apoyar los esfuerzos de KHDA para posicionar Dubái como un destino global de referencia para los estudiantes que desean cursar estudios superiores. La conectividad global, una propuesta de valor atractiva y las acciones promocionales serán fundamentales para alcanzar este objetivo, y nuestra red de cerca de 140 destinos nos sitúa en una posición sólida para atraer a más estudiantes, trasladarlos a ellos y a sus familias a Dubái en cualquier época del año y facilitar sus viajes de regreso durante sus estudios. Esto también nos ayudará a crear una base de viajeros jóvenes y fieles, así como una conexión que perdure mucho después de su graduación. Al mantener Dubái entre las ciudades mejor conectadas del mundo, Emirates contribuye a la estrategia </w:t>
      </w:r>
      <w:r w:rsidDel="00000000" w:rsidR="00000000" w:rsidRPr="00000000">
        <w:rPr>
          <w:rFonts w:ascii="Century Gothic" w:cs="Century Gothic" w:eastAsia="Century Gothic" w:hAnsi="Century Gothic"/>
          <w:i w:val="1"/>
          <w:iCs w:val="1"/>
          <w:sz w:val="22"/>
          <w:szCs w:val="22"/>
          <w:rtl w:val="0"/>
        </w:rPr>
        <w:t xml:space="preserve">Dubai Economic Agenda</w:t>
      </w:r>
      <w:r w:rsidDel="00000000" w:rsidR="00000000" w:rsidRPr="00000000">
        <w:rPr>
          <w:rFonts w:ascii="Century Gothic" w:cs="Century Gothic" w:eastAsia="Century Gothic" w:hAnsi="Century Gothic"/>
          <w:sz w:val="22"/>
          <w:szCs w:val="22"/>
          <w:rtl w:val="0"/>
        </w:rPr>
        <w:t xml:space="preserve"> (D33) en los ámbitos del turismo, el comercio, la logística y ahora también la educación”.</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El Dr. Wafi Dawood, CEO del Strategic Development Sector de KHDA, afirmó: “Atraer y retener talento global es fundamental para la visión de la estrategia E33. Esta colaboración con Emirates respalda esa ambición al hacer que Dubái sea más accesible y atractivo para estudiantes de todo el mundo. A través de mejores beneficios de viaje, una mayor flexibilidad y una conectividad mejorada, contribuimos a crear una experiencia educativa fluida desde la matriculación hasta la graduación. Al mismo tiempo, la red global de Emirates reforzará el alcance de nuestro programa Study Dubai, permitiéndonos conectar con futuros estudiantes en mercados internacionales clave y mostrar las oportunidades disponibles en el sector de la educación superior de Dubái. Juntos, estamos creando una experiencia estudiantil más conectada y gratificante”.</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La educación es una iniciativa clave de la </w:t>
      </w:r>
      <w:r w:rsidDel="00000000" w:rsidR="00000000" w:rsidRPr="00000000">
        <w:rPr>
          <w:rFonts w:ascii="Century Gothic" w:cs="Century Gothic" w:eastAsia="Century Gothic" w:hAnsi="Century Gothic"/>
          <w:i w:val="1"/>
          <w:iCs w:val="1"/>
          <w:sz w:val="22"/>
          <w:szCs w:val="22"/>
          <w:rtl w:val="0"/>
        </w:rPr>
        <w:t xml:space="preserve">Dubai Economic Agenda</w:t>
      </w:r>
      <w:r w:rsidDel="00000000" w:rsidR="00000000" w:rsidRPr="00000000">
        <w:rPr>
          <w:rFonts w:ascii="Century Gothic" w:cs="Century Gothic" w:eastAsia="Century Gothic" w:hAnsi="Century Gothic"/>
          <w:sz w:val="22"/>
          <w:szCs w:val="22"/>
          <w:rtl w:val="0"/>
        </w:rPr>
        <w:t xml:space="preserve"> (D33) y se desarrolla a través de la estrategia </w:t>
      </w:r>
      <w:r w:rsidDel="00000000" w:rsidR="00000000" w:rsidRPr="00000000">
        <w:rPr>
          <w:rFonts w:ascii="Century Gothic" w:cs="Century Gothic" w:eastAsia="Century Gothic" w:hAnsi="Century Gothic"/>
          <w:i w:val="1"/>
          <w:iCs w:val="1"/>
          <w:sz w:val="22"/>
          <w:szCs w:val="22"/>
          <w:rtl w:val="0"/>
        </w:rPr>
        <w:t xml:space="preserve">Education 33 </w:t>
      </w:r>
      <w:r w:rsidDel="00000000" w:rsidR="00000000" w:rsidRPr="00000000">
        <w:rPr>
          <w:rFonts w:ascii="Century Gothic" w:cs="Century Gothic" w:eastAsia="Century Gothic" w:hAnsi="Century Gothic"/>
          <w:sz w:val="22"/>
          <w:szCs w:val="22"/>
          <w:rtl w:val="0"/>
        </w:rPr>
        <w:t xml:space="preserve">(E33). En el marco de su </w:t>
      </w:r>
      <w:r w:rsidDel="00000000" w:rsidR="00000000" w:rsidRPr="00000000">
        <w:rPr>
          <w:rFonts w:ascii="Century Gothic" w:cs="Century Gothic" w:eastAsia="Century Gothic" w:hAnsi="Century Gothic"/>
          <w:i w:val="1"/>
          <w:iCs w:val="1"/>
          <w:sz w:val="22"/>
          <w:szCs w:val="22"/>
          <w:rtl w:val="0"/>
        </w:rPr>
        <w:t xml:space="preserve">City of Students</w:t>
      </w:r>
      <w:r w:rsidDel="00000000" w:rsidR="00000000" w:rsidRPr="00000000">
        <w:rPr>
          <w:rFonts w:ascii="Century Gothic" w:cs="Century Gothic" w:eastAsia="Century Gothic" w:hAnsi="Century Gothic"/>
          <w:sz w:val="22"/>
          <w:szCs w:val="22"/>
          <w:rtl w:val="0"/>
        </w:rPr>
        <w:t xml:space="preserve">, E33 tiene como objetivo aumentar hasta el 50 % en 2033 la proporción de estudiantes internacionales matriculados en instituciones de educación superior de Dubái. La estrategia también busca situar a Dubái entre las 10 principales ciudades universitarias del mundo y multiplicar por diez el turismo educativo.</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Emirates también ha firmado un MoU con </w:t>
      </w:r>
      <w:r w:rsidDel="00000000" w:rsidR="00000000" w:rsidRPr="00000000">
        <w:rPr>
          <w:rFonts w:ascii="Century Gothic" w:cs="Century Gothic" w:eastAsia="Century Gothic" w:hAnsi="Century Gothic"/>
          <w:i w:val="1"/>
          <w:iCs w:val="1"/>
          <w:sz w:val="22"/>
          <w:szCs w:val="22"/>
          <w:rtl w:val="0"/>
        </w:rPr>
        <w:t xml:space="preserve">International Consultants for Exhibitions and Fairs</w:t>
      </w:r>
      <w:r w:rsidDel="00000000" w:rsidR="00000000" w:rsidRPr="00000000">
        <w:rPr>
          <w:rFonts w:ascii="Century Gothic" w:cs="Century Gothic" w:eastAsia="Century Gothic" w:hAnsi="Century Gothic"/>
          <w:sz w:val="22"/>
          <w:szCs w:val="22"/>
          <w:rtl w:val="0"/>
        </w:rPr>
        <w:t xml:space="preserve"> (ICEF), la principal red B2B del sector de la educación internacional, convirtiéndose en su aerolínea preferente para viajes relacionados con la educación. El MoU se firmó en el marco de ATM. ICEF opera en más de 100 países y conecta a agencias educativas acreditadas con instituciones de todo el mundo a través de sus eventos, programas de formación y plataformas de inteligencia de mercado, entre ellas ICEF Monitor.</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En el marco de esta colaboración, Emirates e ICEF trabajarán conjuntamente para desarrollar propuestas de viaje específicas para las agencias acreditadas por ICEF y sus estudiantes que viajen a través de la red de la aerolínea, con planes para explorar servicios de asistencia en reservas y gestión de cuentas para las organizaciones miembros de ICEF. La colaboración también incluirá campañas conjuntas de marca dirigidas a estudiantes internacionales y profesionales del sector educativo, además de la presencia de Emirates en importantes eventos de ICEF en Berlín, Dubái y Estados Unidos, reforzando aún más la visibilidad de la aerolínea dentro de la comunidad educativa internacional.</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El acuerdo también se extiende a la formación y la inteligencia de mercado. Emirates participará en los programas de </w:t>
      </w:r>
      <w:r w:rsidDel="00000000" w:rsidR="00000000" w:rsidRPr="00000000">
        <w:rPr>
          <w:rFonts w:ascii="Century Gothic" w:cs="Century Gothic" w:eastAsia="Century Gothic" w:hAnsi="Century Gothic"/>
          <w:i w:val="1"/>
          <w:iCs w:val="1"/>
          <w:sz w:val="22"/>
          <w:szCs w:val="22"/>
          <w:rtl w:val="0"/>
        </w:rPr>
        <w:t xml:space="preserve">ICEF Academy</w:t>
      </w:r>
      <w:r w:rsidDel="00000000" w:rsidR="00000000" w:rsidRPr="00000000">
        <w:rPr>
          <w:rFonts w:ascii="Century Gothic" w:cs="Century Gothic" w:eastAsia="Century Gothic" w:hAnsi="Century Gothic"/>
          <w:sz w:val="22"/>
          <w:szCs w:val="22"/>
          <w:rtl w:val="0"/>
        </w:rPr>
        <w:t xml:space="preserve"> dirigidos a agentes educativos, compartirá información sobre las tendencias en los viajes de estudiantes y en los destinos, y contribuirá a las conferencias de ICEF mediante intervenciones y oportunidades de colaboración con el sector.</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En conjunto, estas colaboraciones refuerzan el papel de Dubái como hub educativo global y como punto natural de conexión para los estudiantes que viajan entre su lugar de residencia y su campus.</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b w:val="1"/>
          <w:bCs w:val="1"/>
          <w:i w:val="1"/>
          <w:iCs w:val="1"/>
          <w:sz w:val="22"/>
          <w:szCs w:val="22"/>
        </w:rPr>
      </w:pPr>
      <w:r w:rsidDel="00000000" w:rsidR="00000000" w:rsidRPr="00000000">
        <w:rPr>
          <w:rFonts w:ascii="Century Gothic" w:cs="Century Gothic" w:eastAsia="Century Gothic" w:hAnsi="Century Gothic"/>
          <w:b w:val="1"/>
          <w:bCs w:val="1"/>
          <w:sz w:val="22"/>
          <w:szCs w:val="22"/>
          <w:rtl w:val="0"/>
        </w:rPr>
        <w:t xml:space="preserve">Sobre </w:t>
      </w:r>
      <w:r w:rsidDel="00000000" w:rsidR="00000000" w:rsidRPr="00000000">
        <w:rPr>
          <w:rFonts w:ascii="Century Gothic" w:cs="Century Gothic" w:eastAsia="Century Gothic" w:hAnsi="Century Gothic"/>
          <w:b w:val="1"/>
          <w:bCs w:val="1"/>
          <w:i w:val="1"/>
          <w:iCs w:val="1"/>
          <w:sz w:val="22"/>
          <w:szCs w:val="22"/>
          <w:rtl w:val="0"/>
        </w:rPr>
        <w:t xml:space="preserve">Knowledge and Human Development Authority</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280" w:line="36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22"/>
          <w:szCs w:val="22"/>
          <w:rtl w:val="0"/>
        </w:rPr>
        <w:t xml:space="preserve">La </w:t>
      </w:r>
      <w:r w:rsidDel="00000000" w:rsidR="00000000" w:rsidRPr="00000000">
        <w:rPr>
          <w:rFonts w:ascii="Century Gothic" w:cs="Century Gothic" w:eastAsia="Century Gothic" w:hAnsi="Century Gothic"/>
          <w:i w:val="1"/>
          <w:iCs w:val="1"/>
          <w:sz w:val="22"/>
          <w:szCs w:val="22"/>
          <w:rtl w:val="0"/>
        </w:rPr>
        <w:t xml:space="preserve">Knowledge and Human Development Authority</w:t>
      </w:r>
      <w:r w:rsidDel="00000000" w:rsidR="00000000" w:rsidRPr="00000000">
        <w:rPr>
          <w:rFonts w:ascii="Century Gothic" w:cs="Century Gothic" w:eastAsia="Century Gothic" w:hAnsi="Century Gothic"/>
          <w:sz w:val="22"/>
          <w:szCs w:val="22"/>
          <w:rtl w:val="0"/>
        </w:rPr>
        <w:t xml:space="preserve"> es responsable del crecimiento, la orientación y la calidad de la educación privada en Dubái. Guiada por la estrategia </w:t>
      </w:r>
      <w:r w:rsidDel="00000000" w:rsidR="00000000" w:rsidRPr="00000000">
        <w:rPr>
          <w:rFonts w:ascii="Century Gothic" w:cs="Century Gothic" w:eastAsia="Century Gothic" w:hAnsi="Century Gothic"/>
          <w:i w:val="1"/>
          <w:iCs w:val="1"/>
          <w:sz w:val="22"/>
          <w:szCs w:val="22"/>
          <w:rtl w:val="0"/>
        </w:rPr>
        <w:t xml:space="preserve">Education 33</w:t>
      </w:r>
      <w:r w:rsidDel="00000000" w:rsidR="00000000" w:rsidRPr="00000000">
        <w:rPr>
          <w:rFonts w:ascii="Century Gothic" w:cs="Century Gothic" w:eastAsia="Century Gothic" w:hAnsi="Century Gothic"/>
          <w:sz w:val="22"/>
          <w:szCs w:val="22"/>
          <w:rtl w:val="0"/>
        </w:rPr>
        <w:t xml:space="preserve">, KHDA trabaja para construir un sistema educativo ágil, inclusivo y preparado para el futuro que fomente el aprendizaje permanente y permita a cada persona desarrollarse en un mundo en rápida transformación. Los esfuerzos de KHDA contribuyen a los objetivos de </w:t>
      </w:r>
      <w:r w:rsidDel="00000000" w:rsidR="00000000" w:rsidRPr="00000000">
        <w:rPr>
          <w:rFonts w:ascii="Century Gothic" w:cs="Century Gothic" w:eastAsia="Century Gothic" w:hAnsi="Century Gothic"/>
          <w:i w:val="1"/>
          <w:iCs w:val="1"/>
          <w:sz w:val="22"/>
          <w:szCs w:val="22"/>
          <w:rtl w:val="0"/>
        </w:rPr>
        <w:t xml:space="preserve">Dubai Plan 33 </w:t>
      </w:r>
      <w:r w:rsidDel="00000000" w:rsidR="00000000" w:rsidRPr="00000000">
        <w:rPr>
          <w:rFonts w:ascii="Century Gothic" w:cs="Century Gothic" w:eastAsia="Century Gothic" w:hAnsi="Century Gothic"/>
          <w:sz w:val="22"/>
          <w:szCs w:val="22"/>
          <w:rtl w:val="0"/>
        </w:rPr>
        <w:t xml:space="preserve">y a sus agendas sociales y económicas, y respaldan la visión del emirato de convertirse en un líder mundial en innovación, desarrollo del talento y calidad de vida.</w:t>
      </w:r>
      <w:r w:rsidDel="00000000" w:rsidR="00000000" w:rsidRPr="00000000">
        <w:rPr>
          <w:rtl w:val="0"/>
        </w:rPr>
      </w:r>
    </w:p>
    <w:sectPr>
      <w:headerReference r:id="rId7" w:type="default"/>
      <w:pgSz w:h="16840" w:w="11900" w:orient="portrait"/>
      <w:pgMar w:bottom="734" w:top="1417" w:left="1276" w:right="126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2073275" cy="1430655"/>
          <wp:effectExtent b="0" l="0" r="0" t="0"/>
          <wp:wrapSquare wrapText="bothSides" distB="0" distT="0" distL="0" distR="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073275" cy="1430655"/>
                  </a:xfrm>
                  <a:prstGeom prst="rect"/>
                  <a:ln/>
                </pic:spPr>
              </pic:pic>
            </a:graphicData>
          </a:graphic>
        </wp:anchor>
      </w:drawing>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right" w:leader="none" w:pos="8478"/>
      </w:tabs>
      <w:spacing w:after="200" w:lineRule="auto"/>
      <w:rPr>
        <w:rFonts w:ascii="Cambria" w:cs="Cambria" w:eastAsia="Cambria" w:hAnsi="Cambria"/>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48"/>
      <w:szCs w:val="48"/>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bCs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bCs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sz w:val="22"/>
      <w:szCs w:val="22"/>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a" w:customStyle="1">
    <w:basedOn w:val="TableNormal0"/>
    <w:tblPr>
      <w:tblStyleRowBandSize w:val="1"/>
      <w:tblStyleColBandSize w:val="1"/>
    </w:tblPr>
  </w:style>
  <w:style w:type="paragraph" w:styleId="Prrafodelista">
    <w:name w:val="List Paragraph"/>
    <w:aliases w:val="numbered,Paragraphe de liste1,Bullet List,FooterText"/>
    <w:basedOn w:val="Normal"/>
    <w:link w:val="PrrafodelistaCar"/>
    <w:uiPriority w:val="34"/>
    <w:qFormat w:val="1"/>
    <w:rsid w:val="004348AD"/>
    <w:pPr>
      <w:ind w:left="720"/>
      <w:contextualSpacing w:val="1"/>
    </w:pPr>
  </w:style>
  <w:style w:type="character" w:styleId="Hipervnculo">
    <w:name w:val="Hyperlink"/>
    <w:basedOn w:val="Fuentedeprrafopredeter"/>
    <w:uiPriority w:val="99"/>
    <w:unhideWhenUsed w:val="1"/>
    <w:rsid w:val="00D15796"/>
    <w:rPr>
      <w:color w:val="0000ff" w:themeColor="hyperlink"/>
      <w:u w:val="single"/>
    </w:rPr>
  </w:style>
  <w:style w:type="character" w:styleId="Mencinsinresolver1" w:customStyle="1">
    <w:name w:val="Mención sin resolver1"/>
    <w:basedOn w:val="Fuentedeprrafopredeter"/>
    <w:uiPriority w:val="99"/>
    <w:semiHidden w:val="1"/>
    <w:unhideWhenUsed w:val="1"/>
    <w:rsid w:val="007E7562"/>
    <w:rPr>
      <w:color w:val="605e5c"/>
      <w:shd w:color="auto" w:fill="e1dfdd" w:val="clear"/>
    </w:rPr>
  </w:style>
  <w:style w:type="character" w:styleId="Hipervnculovisitado">
    <w:name w:val="FollowedHyperlink"/>
    <w:basedOn w:val="Fuentedeprrafopredeter"/>
    <w:uiPriority w:val="99"/>
    <w:semiHidden w:val="1"/>
    <w:unhideWhenUsed w:val="1"/>
    <w:rsid w:val="007E7562"/>
    <w:rPr>
      <w:color w:val="800080" w:themeColor="followedHyperlink"/>
      <w:u w:val="single"/>
    </w:rPr>
  </w:style>
  <w:style w:type="paragraph" w:styleId="Encabezado">
    <w:name w:val="header"/>
    <w:basedOn w:val="Normal"/>
    <w:link w:val="EncabezadoCar"/>
    <w:uiPriority w:val="99"/>
    <w:unhideWhenUsed w:val="1"/>
    <w:rsid w:val="003E7D4F"/>
    <w:pPr>
      <w:tabs>
        <w:tab w:val="center" w:pos="4252"/>
        <w:tab w:val="right" w:pos="8504"/>
      </w:tabs>
    </w:pPr>
  </w:style>
  <w:style w:type="character" w:styleId="EncabezadoCar" w:customStyle="1">
    <w:name w:val="Encabezado Car"/>
    <w:basedOn w:val="Fuentedeprrafopredeter"/>
    <w:link w:val="Encabezado"/>
    <w:uiPriority w:val="99"/>
    <w:rsid w:val="003E7D4F"/>
  </w:style>
  <w:style w:type="paragraph" w:styleId="Piedepgina">
    <w:name w:val="footer"/>
    <w:basedOn w:val="Normal"/>
    <w:link w:val="PiedepginaCar"/>
    <w:uiPriority w:val="99"/>
    <w:unhideWhenUsed w:val="1"/>
    <w:rsid w:val="003E7D4F"/>
    <w:pPr>
      <w:tabs>
        <w:tab w:val="center" w:pos="4252"/>
        <w:tab w:val="right" w:pos="8504"/>
      </w:tabs>
    </w:pPr>
  </w:style>
  <w:style w:type="character" w:styleId="PiedepginaCar" w:customStyle="1">
    <w:name w:val="Pie de página Car"/>
    <w:basedOn w:val="Fuentedeprrafopredeter"/>
    <w:link w:val="Piedepgina"/>
    <w:uiPriority w:val="99"/>
    <w:rsid w:val="003E7D4F"/>
  </w:style>
  <w:style w:type="paragraph" w:styleId="NormalWeb">
    <w:name w:val="Normal (Web)"/>
    <w:basedOn w:val="Normal"/>
    <w:uiPriority w:val="99"/>
    <w:unhideWhenUsed w:val="1"/>
    <w:rsid w:val="001863FF"/>
    <w:pPr>
      <w:spacing w:after="100" w:afterAutospacing="1" w:before="100" w:beforeAutospacing="1"/>
    </w:pPr>
    <w:rPr>
      <w:rFonts w:ascii="Calibri" w:cs="Calibri" w:hAnsi="Calibri" w:eastAsiaTheme="minorHAnsi"/>
      <w:sz w:val="22"/>
      <w:szCs w:val="22"/>
      <w:lang w:val="en-GB"/>
    </w:rPr>
  </w:style>
  <w:style w:type="character" w:styleId="Fuerte">
    <w:name w:val="Strong"/>
    <w:basedOn w:val="Fuentedeprrafopredeter"/>
    <w:uiPriority w:val="22"/>
    <w:qFormat w:val="1"/>
    <w:rsid w:val="009368A3"/>
    <w:rPr>
      <w:b w:val="1"/>
      <w:bCs w:val="1"/>
    </w:rPr>
  </w:style>
  <w:style w:type="character" w:styleId="Mencinsinresolver">
    <w:name w:val="Unresolved Mention"/>
    <w:basedOn w:val="Fuentedeprrafopredeter"/>
    <w:uiPriority w:val="99"/>
    <w:semiHidden w:val="1"/>
    <w:unhideWhenUsed w:val="1"/>
    <w:rsid w:val="005647D6"/>
    <w:rPr>
      <w:color w:val="605e5c"/>
      <w:shd w:color="auto" w:fill="e1dfdd" w:val="clear"/>
    </w:rPr>
  </w:style>
  <w:style w:type="paragraph" w:styleId="Textocomentario">
    <w:name w:val="annotation text"/>
    <w:basedOn w:val="Normal"/>
    <w:link w:val="TextocomentarioCar"/>
    <w:uiPriority w:val="99"/>
    <w:semiHidden w:val="1"/>
    <w:unhideWhenUsed w:val="1"/>
    <w:rsid w:val="005647D6"/>
    <w:pPr>
      <w:spacing w:after="160"/>
    </w:pPr>
    <w:rPr>
      <w:rFonts w:asciiTheme="minorHAnsi" w:cstheme="minorBidi" w:eastAsiaTheme="minorEastAsia" w:hAnsiTheme="minorHAnsi"/>
      <w:sz w:val="20"/>
      <w:szCs w:val="20"/>
      <w:lang w:eastAsia="zh-CN" w:val="en-GB"/>
    </w:rPr>
  </w:style>
  <w:style w:type="character" w:styleId="TextocomentarioCar" w:customStyle="1">
    <w:name w:val="Texto comentario Car"/>
    <w:basedOn w:val="Fuentedeprrafopredeter"/>
    <w:link w:val="Textocomentario"/>
    <w:uiPriority w:val="99"/>
    <w:semiHidden w:val="1"/>
    <w:rsid w:val="005647D6"/>
    <w:rPr>
      <w:rFonts w:asciiTheme="minorHAnsi" w:cstheme="minorBidi" w:eastAsiaTheme="minorEastAsia" w:hAnsiTheme="minorHAnsi"/>
      <w:sz w:val="20"/>
      <w:szCs w:val="20"/>
      <w:lang w:eastAsia="zh-CN" w:val="en-GB"/>
    </w:rPr>
  </w:style>
  <w:style w:type="character" w:styleId="PrrafodelistaCar" w:customStyle="1">
    <w:name w:val="Párrafo de lista Car"/>
    <w:aliases w:val="numbered Car,Paragraphe de liste1 Car,Bullet List Car,FooterText Car"/>
    <w:basedOn w:val="Fuentedeprrafopredeter"/>
    <w:link w:val="Prrafodelista"/>
    <w:uiPriority w:val="34"/>
    <w:locked w:val="1"/>
    <w:rsid w:val="005647D6"/>
  </w:style>
  <w:style w:type="character" w:styleId="wordsection1Char" w:customStyle="1">
    <w:name w:val="wordsection1 Char"/>
    <w:basedOn w:val="Fuentedeprrafopredeter"/>
    <w:link w:val="wordsection1"/>
    <w:uiPriority w:val="99"/>
    <w:locked w:val="1"/>
    <w:rsid w:val="005647D6"/>
    <w:rPr>
      <w:rFonts w:ascii="Calibri" w:cs="Calibri" w:hAnsi="Calibri"/>
    </w:rPr>
  </w:style>
  <w:style w:type="paragraph" w:styleId="wordsection1" w:customStyle="1">
    <w:name w:val="wordsection1"/>
    <w:basedOn w:val="Normal"/>
    <w:link w:val="wordsection1Char"/>
    <w:uiPriority w:val="99"/>
    <w:rsid w:val="005647D6"/>
    <w:rPr>
      <w:rFonts w:ascii="Calibri" w:cs="Calibri" w:hAnsi="Calibri"/>
    </w:rPr>
  </w:style>
  <w:style w:type="character" w:styleId="Refdecomentario">
    <w:name w:val="annotation reference"/>
    <w:basedOn w:val="Fuentedeprrafopredeter"/>
    <w:uiPriority w:val="99"/>
    <w:semiHidden w:val="1"/>
    <w:unhideWhenUsed w:val="1"/>
    <w:rsid w:val="005647D6"/>
    <w:rPr>
      <w:sz w:val="16"/>
      <w:szCs w:val="16"/>
    </w:rPr>
  </w:style>
  <w:style w:type="character" w:styleId="normaltextrun" w:customStyle="1">
    <w:name w:val="normaltextrun"/>
    <w:basedOn w:val="Fuentedeprrafopredeter"/>
    <w:rsid w:val="005647D6"/>
  </w:style>
  <w:style w:type="table" w:styleId="a0" w:customStyle="1">
    <w:basedOn w:val="TableNormal0"/>
    <w:tblPr>
      <w:tblStyleRowBandSize w:val="1"/>
      <w:tblStyleColBandSize w:val="1"/>
    </w:tblPr>
  </w:style>
  <w:style w:type="character" w:styleId="nfasis">
    <w:name w:val="Emphasis"/>
    <w:basedOn w:val="Fuentedeprrafopredeter"/>
    <w:uiPriority w:val="20"/>
    <w:qFormat w:val="1"/>
    <w:rsid w:val="000D6301"/>
    <w:rPr>
      <w:i w:val="1"/>
      <w:iCs w:val="1"/>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vk5d7grkGlYwtcTEF45bP4JkWw==">CgMxLjA4AHIhMUtqNzdKS1RWTnFDaTkzN21acHpRWGJjRDNiSFRsb1Zn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2026-09-16T13:28:00Z</dcterms:created>
  <dc:creator>Usuario</dc:creator>
</cp:coreProperties>
</file>