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Contacto:</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EMIRATES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Sergat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Teléfono: 93 414 02 10</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360" w:lineRule="auto"/>
        <w:jc w:val="both"/>
        <w:rPr>
          <w:rFonts w:ascii="Cambria" w:cs="Cambria" w:eastAsia="Cambria" w:hAnsi="Cambria"/>
          <w:color w:val="000000"/>
        </w:rPr>
      </w:pPr>
      <w:r w:rsidDel="00000000" w:rsidR="00000000" w:rsidRPr="00000000">
        <w:rPr>
          <w:rFonts w:ascii="Century Gothic" w:cs="Century Gothic" w:eastAsia="Century Gothic" w:hAnsi="Century Gothic"/>
          <w:color w:val="000000"/>
          <w:sz w:val="18"/>
          <w:szCs w:val="18"/>
          <w:rtl w:val="0"/>
        </w:rPr>
        <w:t xml:space="preserve">Correo electrónico: </w:t>
      </w:r>
      <w:r w:rsidDel="00000000" w:rsidR="00000000" w:rsidRPr="00000000">
        <w:rPr>
          <w:rFonts w:ascii="Century Gothic" w:cs="Century Gothic" w:eastAsia="Century Gothic" w:hAnsi="Century Gothic"/>
          <w:color w:val="0000ff"/>
          <w:sz w:val="18"/>
          <w:szCs w:val="18"/>
          <w:rtl w:val="0"/>
        </w:rPr>
        <w:t xml:space="preserve">prensa@sergat.com   </w:t>
      </w:r>
      <w:r w:rsidDel="00000000" w:rsidR="00000000" w:rsidRPr="00000000">
        <w:rPr>
          <w:rtl w:val="0"/>
        </w:rPr>
      </w:r>
    </w:p>
    <w:tbl>
      <w:tblPr>
        <w:tblStyle w:val="Table1"/>
        <w:tblW w:w="5775.0" w:type="dxa"/>
        <w:jc w:val="center"/>
        <w:tblLayout w:type="fixed"/>
        <w:tblLook w:val="0400"/>
      </w:tblPr>
      <w:tblGrid>
        <w:gridCol w:w="5775"/>
        <w:tblGridChange w:id="0">
          <w:tblGrid>
            <w:gridCol w:w="5775"/>
          </w:tblGrid>
        </w:tblGridChange>
      </w:tblGrid>
      <w:tr>
        <w:trPr>
          <w:cantSplit w:val="0"/>
          <w:tblHeader w:val="0"/>
        </w:trPr>
        <w:tc>
          <w:tcPr>
            <w:vAlign w:val="center"/>
          </w:tcPr>
          <w:p w:rsidR="00000000" w:rsidDel="00000000" w:rsidP="00000000" w:rsidRDefault="00000000" w:rsidRPr="00000000" w14:paraId="00000006">
            <w:pPr>
              <w:jc w:val="center"/>
              <w:rPr>
                <w:sz w:val="20"/>
                <w:szCs w:val="20"/>
              </w:rPr>
            </w:pPr>
            <w:r w:rsidDel="00000000" w:rsidR="00000000" w:rsidRPr="00000000">
              <w:rPr>
                <w:rtl w:val="0"/>
              </w:rPr>
            </w:r>
          </w:p>
        </w:tc>
      </w:tr>
    </w:tbl>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28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Emirates refuerza sus alianzas de viaje para llegar a nuevas audiencias en ATM</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Dubái,</w:t>
      </w:r>
      <w:r w:rsidDel="00000000" w:rsidR="00000000" w:rsidRPr="00000000">
        <w:rPr>
          <w:rtl w:val="0"/>
        </w:rPr>
        <w:t xml:space="preserve"> </w:t>
      </w:r>
      <w:r w:rsidDel="00000000" w:rsidR="00000000" w:rsidRPr="00000000">
        <w:rPr>
          <w:rFonts w:ascii="Century Gothic" w:cs="Century Gothic" w:eastAsia="Century Gothic" w:hAnsi="Century Gothic"/>
          <w:b w:val="1"/>
          <w:bCs w:val="1"/>
          <w:sz w:val="22"/>
          <w:szCs w:val="22"/>
          <w:rtl w:val="0"/>
        </w:rPr>
        <w:t xml:space="preserve">EAU, 17 de septiembre de 2026: </w:t>
      </w:r>
      <w:r w:rsidDel="00000000" w:rsidR="00000000" w:rsidRPr="00000000">
        <w:rPr>
          <w:rFonts w:ascii="Century Gothic" w:cs="Century Gothic" w:eastAsia="Century Gothic" w:hAnsi="Century Gothic"/>
          <w:sz w:val="22"/>
          <w:szCs w:val="22"/>
          <w:rtl w:val="0"/>
        </w:rPr>
        <w:t xml:space="preserve">Emirates ha firmado acuerdos con tres nuevos </w:t>
      </w:r>
      <w:r w:rsidDel="00000000" w:rsidR="00000000" w:rsidRPr="00000000">
        <w:rPr>
          <w:rFonts w:ascii="Century Gothic" w:cs="Century Gothic" w:eastAsia="Century Gothic" w:hAnsi="Century Gothic"/>
          <w:i w:val="1"/>
          <w:iCs w:val="1"/>
          <w:sz w:val="22"/>
          <w:szCs w:val="22"/>
          <w:rtl w:val="0"/>
        </w:rPr>
        <w:t xml:space="preserve">partners</w:t>
      </w:r>
      <w:r w:rsidDel="00000000" w:rsidR="00000000" w:rsidRPr="00000000">
        <w:rPr>
          <w:rFonts w:ascii="Century Gothic" w:cs="Century Gothic" w:eastAsia="Century Gothic" w:hAnsi="Century Gothic"/>
          <w:sz w:val="22"/>
          <w:szCs w:val="22"/>
          <w:rtl w:val="0"/>
        </w:rPr>
        <w:t xml:space="preserve"> de destino y está profundizando sus relaciones con plataformas de tecnología de viajes y deportivas, compañías de cruceros, </w:t>
      </w:r>
      <w:r w:rsidDel="00000000" w:rsidR="00000000" w:rsidRPr="00000000">
        <w:rPr>
          <w:rFonts w:ascii="Century Gothic" w:cs="Century Gothic" w:eastAsia="Century Gothic" w:hAnsi="Century Gothic"/>
          <w:i w:val="1"/>
          <w:iCs w:val="1"/>
          <w:sz w:val="22"/>
          <w:szCs w:val="22"/>
          <w:rtl w:val="0"/>
        </w:rPr>
        <w:t xml:space="preserve">business councils</w:t>
      </w:r>
      <w:r w:rsidDel="00000000" w:rsidR="00000000" w:rsidRPr="00000000">
        <w:rPr>
          <w:rFonts w:ascii="Century Gothic" w:cs="Century Gothic" w:eastAsia="Century Gothic" w:hAnsi="Century Gothic"/>
          <w:sz w:val="22"/>
          <w:szCs w:val="22"/>
          <w:rtl w:val="0"/>
        </w:rPr>
        <w:t xml:space="preserve"> y </w:t>
      </w:r>
      <w:r w:rsidDel="00000000" w:rsidR="00000000" w:rsidRPr="00000000">
        <w:rPr>
          <w:rFonts w:ascii="Century Gothic" w:cs="Century Gothic" w:eastAsia="Century Gothic" w:hAnsi="Century Gothic"/>
          <w:i w:val="1"/>
          <w:iCs w:val="1"/>
          <w:sz w:val="22"/>
          <w:szCs w:val="22"/>
          <w:rtl w:val="0"/>
        </w:rPr>
        <w:t xml:space="preserve">partners</w:t>
      </w:r>
      <w:r w:rsidDel="00000000" w:rsidR="00000000" w:rsidRPr="00000000">
        <w:rPr>
          <w:rFonts w:ascii="Century Gothic" w:cs="Century Gothic" w:eastAsia="Century Gothic" w:hAnsi="Century Gothic"/>
          <w:sz w:val="22"/>
          <w:szCs w:val="22"/>
          <w:rtl w:val="0"/>
        </w:rPr>
        <w:t xml:space="preserve"> bancarios. Estas alianzas tienen como objetivo ampliar la base de clientes de la aerolínea y su capacidad para desarrollar propuestas específicas en torno a las distintas prioridades de cada segmento.</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y la </w:t>
      </w:r>
      <w:r w:rsidDel="00000000" w:rsidR="00000000" w:rsidRPr="00000000">
        <w:rPr>
          <w:rFonts w:ascii="Century Gothic" w:cs="Century Gothic" w:eastAsia="Century Gothic" w:hAnsi="Century Gothic"/>
          <w:b w:val="1"/>
          <w:bCs w:val="1"/>
          <w:i w:val="1"/>
          <w:iCs w:val="1"/>
          <w:sz w:val="22"/>
          <w:szCs w:val="22"/>
          <w:rtl w:val="0"/>
        </w:rPr>
        <w:t xml:space="preserve">Mozambique National Agency for Tourism Development and Investment, Public Fund</w:t>
      </w:r>
      <w:r w:rsidDel="00000000" w:rsidR="00000000" w:rsidRPr="00000000">
        <w:rPr>
          <w:rFonts w:ascii="Century Gothic" w:cs="Century Gothic" w:eastAsia="Century Gothic" w:hAnsi="Century Gothic"/>
          <w:i w:val="1"/>
          <w:iCs w:val="1"/>
          <w:sz w:val="22"/>
          <w:szCs w:val="22"/>
          <w:rtl w:val="0"/>
        </w:rPr>
        <w:t xml:space="preserve"> </w:t>
      </w:r>
      <w:r w:rsidDel="00000000" w:rsidR="00000000" w:rsidRPr="00000000">
        <w:rPr>
          <w:rFonts w:ascii="Century Gothic" w:cs="Century Gothic" w:eastAsia="Century Gothic" w:hAnsi="Century Gothic"/>
          <w:sz w:val="22"/>
          <w:szCs w:val="22"/>
          <w:rtl w:val="0"/>
        </w:rPr>
        <w:t xml:space="preserve">(ANDITUR)** han establecido una colaboración para apoyar el crecimiento del turismo internacional hacia Mozambique. El acuerdo permitirá a ambas partes explorar oportunidades para promocionar el país entre viajeros internacionales en regiones clave mediante alianzas de la aerolínea en África, proporcionando una conectividad fluida y cómoda con Mozambique. Con una extensa costa de 2.500 km, Mozambique es mundialmente conocido por sus escapadas de playa y aventuras en el océano, sus experiencias culturales, su gastronomía de fusión y sus animadas ciudades, lo que lo convierte en un destino vacacional único y variado, con algo que ofrecer a viajeros de todo el mundo.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y </w:t>
      </w:r>
      <w:r w:rsidDel="00000000" w:rsidR="00000000" w:rsidRPr="00000000">
        <w:rPr>
          <w:rFonts w:ascii="Century Gothic" w:cs="Century Gothic" w:eastAsia="Century Gothic" w:hAnsi="Century Gothic"/>
          <w:b w:val="1"/>
          <w:bCs w:val="1"/>
          <w:i w:val="1"/>
          <w:iCs w:val="1"/>
          <w:sz w:val="22"/>
          <w:szCs w:val="22"/>
          <w:rtl w:val="0"/>
        </w:rPr>
        <w:t xml:space="preserve">Kenya Tourism Board</w:t>
      </w:r>
      <w:r w:rsidDel="00000000" w:rsidR="00000000" w:rsidRPr="00000000">
        <w:rPr>
          <w:rFonts w:ascii="Century Gothic" w:cs="Century Gothic" w:eastAsia="Century Gothic" w:hAnsi="Century Gothic"/>
          <w:sz w:val="22"/>
          <w:szCs w:val="22"/>
          <w:rtl w:val="0"/>
        </w:rPr>
        <w:t xml:space="preserve"> (KTB) han firmado un acuerdo de colaboración para reforzar su cooperación y apoyar el crecimiento del turismo receptivo en Kenia. Ya es uno de los destinos con una demanda más constante dentro de la red africana de la aerolínea, y esta alianza permitirá aprovechar esta fuerte demanda y abrir nuevas oportunidades para que Kenia atraiga visitantes de mercados emergentes y consolidados de todo el mundo. El turismo es un pilar fundamental de la economía de Kenia, genera miles de oportunidades de empleo y recibe a millones de turistas cada año. </w:t>
      </w:r>
      <w:r w:rsidDel="00000000" w:rsidR="00000000" w:rsidRPr="00000000">
        <w:rPr>
          <w:rFonts w:ascii="Century Gothic" w:cs="Century Gothic" w:eastAsia="Century Gothic" w:hAnsi="Century Gothic"/>
          <w:i w:val="1"/>
          <w:iCs w:val="1"/>
          <w:sz w:val="22"/>
          <w:szCs w:val="22"/>
          <w:rtl w:val="0"/>
        </w:rPr>
        <w:t xml:space="preserve">Kenya Tourism Board</w:t>
      </w:r>
      <w:r w:rsidDel="00000000" w:rsidR="00000000" w:rsidRPr="00000000">
        <w:rPr>
          <w:rFonts w:ascii="Century Gothic" w:cs="Century Gothic" w:eastAsia="Century Gothic" w:hAnsi="Century Gothic"/>
          <w:sz w:val="22"/>
          <w:szCs w:val="22"/>
          <w:rtl w:val="0"/>
        </w:rPr>
        <w:t xml:space="preserve"> tiene el ambicioso objetivo de convertir Kenia en el destino turístico más visitado de África, con un calendario durante todo el año de experiencias diversas, sostenibles y auténticas que atraigan a un amplio abanico de visitantes internacionales.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y </w:t>
      </w:r>
      <w:r w:rsidDel="00000000" w:rsidR="00000000" w:rsidRPr="00000000">
        <w:rPr>
          <w:rFonts w:ascii="Century Gothic" w:cs="Century Gothic" w:eastAsia="Century Gothic" w:hAnsi="Century Gothic"/>
          <w:b w:val="1"/>
          <w:bCs w:val="1"/>
          <w:i w:val="1"/>
          <w:iCs w:val="1"/>
          <w:sz w:val="22"/>
          <w:szCs w:val="22"/>
          <w:rtl w:val="0"/>
        </w:rPr>
        <w:t xml:space="preserve">Alibaba Fliggy</w:t>
      </w:r>
      <w:r w:rsidDel="00000000" w:rsidR="00000000" w:rsidRPr="00000000">
        <w:rPr>
          <w:rFonts w:ascii="Century Gothic" w:cs="Century Gothic" w:eastAsia="Century Gothic" w:hAnsi="Century Gothic"/>
          <w:b w:val="1"/>
          <w:bCs w:val="1"/>
          <w:sz w:val="22"/>
          <w:szCs w:val="22"/>
          <w:rtl w:val="0"/>
        </w:rPr>
        <w:t xml:space="preserve">,</w:t>
      </w:r>
      <w:r w:rsidDel="00000000" w:rsidR="00000000" w:rsidRPr="00000000">
        <w:rPr>
          <w:rFonts w:ascii="Century Gothic" w:cs="Century Gothic" w:eastAsia="Century Gothic" w:hAnsi="Century Gothic"/>
          <w:sz w:val="22"/>
          <w:szCs w:val="22"/>
          <w:rtl w:val="0"/>
        </w:rPr>
        <w:t xml:space="preserve"> una de las mayores OTA de China, han firmado un MoU para reforzar su alianza estratégica en China, combinando la red global de Emirates con la amplia plataforma digital de viajes de Alibaba Fliggy. La colaboración se centrará en campañas de </w:t>
      </w:r>
      <w:r w:rsidDel="00000000" w:rsidR="00000000" w:rsidRPr="00000000">
        <w:rPr>
          <w:rFonts w:ascii="Century Gothic" w:cs="Century Gothic" w:eastAsia="Century Gothic" w:hAnsi="Century Gothic"/>
          <w:i w:val="1"/>
          <w:iCs w:val="1"/>
          <w:sz w:val="22"/>
          <w:szCs w:val="22"/>
          <w:rtl w:val="0"/>
        </w:rPr>
        <w:t xml:space="preserve">marketing cobrand</w:t>
      </w:r>
      <w:r w:rsidDel="00000000" w:rsidR="00000000" w:rsidRPr="00000000">
        <w:rPr>
          <w:rFonts w:ascii="Century Gothic" w:cs="Century Gothic" w:eastAsia="Century Gothic" w:hAnsi="Century Gothic"/>
          <w:sz w:val="22"/>
          <w:szCs w:val="22"/>
          <w:rtl w:val="0"/>
        </w:rPr>
        <w:t xml:space="preserve">, iniciativas de </w:t>
      </w:r>
      <w:r w:rsidDel="00000000" w:rsidR="00000000" w:rsidRPr="00000000">
        <w:rPr>
          <w:rFonts w:ascii="Century Gothic" w:cs="Century Gothic" w:eastAsia="Century Gothic" w:hAnsi="Century Gothic"/>
          <w:i w:val="1"/>
          <w:iCs w:val="1"/>
          <w:sz w:val="22"/>
          <w:szCs w:val="22"/>
          <w:rtl w:val="0"/>
        </w:rPr>
        <w:t xml:space="preserve">engagement</w:t>
      </w:r>
      <w:r w:rsidDel="00000000" w:rsidR="00000000" w:rsidRPr="00000000">
        <w:rPr>
          <w:rFonts w:ascii="Century Gothic" w:cs="Century Gothic" w:eastAsia="Century Gothic" w:hAnsi="Century Gothic"/>
          <w:sz w:val="22"/>
          <w:szCs w:val="22"/>
          <w:rtl w:val="0"/>
        </w:rPr>
        <w:t xml:space="preserve"> con clientes y posibles oportunidades de integración entre Emirates Skywards y el ecosistema de membresía de Alibaba Fliggy. Juntos, los </w:t>
      </w:r>
      <w:r w:rsidDel="00000000" w:rsidR="00000000" w:rsidRPr="00000000">
        <w:rPr>
          <w:rFonts w:ascii="Century Gothic" w:cs="Century Gothic" w:eastAsia="Century Gothic" w:hAnsi="Century Gothic"/>
          <w:i w:val="1"/>
          <w:iCs w:val="1"/>
          <w:sz w:val="22"/>
          <w:szCs w:val="22"/>
          <w:rtl w:val="0"/>
        </w:rPr>
        <w:t xml:space="preserve">partners</w:t>
      </w:r>
      <w:r w:rsidDel="00000000" w:rsidR="00000000" w:rsidRPr="00000000">
        <w:rPr>
          <w:rFonts w:ascii="Century Gothic" w:cs="Century Gothic" w:eastAsia="Century Gothic" w:hAnsi="Century Gothic"/>
          <w:sz w:val="22"/>
          <w:szCs w:val="22"/>
          <w:rtl w:val="0"/>
        </w:rPr>
        <w:t xml:space="preserve"> aspiran a aumentar la visibilidad de la marca, impulsar la demanda de viajes y ofrecer experiencias de viaje más personalizadas a los consumidores chinos.</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y MSC Cruises han firmado un MoU que amplía su colaboración de larga duración en ámbitos como la distribución </w:t>
      </w:r>
      <w:r w:rsidDel="00000000" w:rsidR="00000000" w:rsidRPr="00000000">
        <w:rPr>
          <w:rFonts w:ascii="Century Gothic" w:cs="Century Gothic" w:eastAsia="Century Gothic" w:hAnsi="Century Gothic"/>
          <w:i w:val="1"/>
          <w:iCs w:val="1"/>
          <w:sz w:val="22"/>
          <w:szCs w:val="22"/>
          <w:rtl w:val="0"/>
        </w:rPr>
        <w:t xml:space="preserve">fly-cruise</w:t>
      </w:r>
      <w:r w:rsidDel="00000000" w:rsidR="00000000" w:rsidRPr="00000000">
        <w:rPr>
          <w:rFonts w:ascii="Century Gothic" w:cs="Century Gothic" w:eastAsia="Century Gothic" w:hAnsi="Century Gothic"/>
          <w:sz w:val="22"/>
          <w:szCs w:val="22"/>
          <w:rtl w:val="0"/>
        </w:rPr>
        <w:t xml:space="preserve">, la integración de productos </w:t>
      </w:r>
      <w:r w:rsidDel="00000000" w:rsidR="00000000" w:rsidRPr="00000000">
        <w:rPr>
          <w:rFonts w:ascii="Century Gothic" w:cs="Century Gothic" w:eastAsia="Century Gothic" w:hAnsi="Century Gothic"/>
          <w:i w:val="1"/>
          <w:iCs w:val="1"/>
          <w:sz w:val="22"/>
          <w:szCs w:val="22"/>
          <w:rtl w:val="0"/>
        </w:rPr>
        <w:t xml:space="preserve">air-sea</w:t>
      </w:r>
      <w:r w:rsidDel="00000000" w:rsidR="00000000" w:rsidRPr="00000000">
        <w:rPr>
          <w:rFonts w:ascii="Century Gothic" w:cs="Century Gothic" w:eastAsia="Century Gothic" w:hAnsi="Century Gothic"/>
          <w:sz w:val="22"/>
          <w:szCs w:val="22"/>
          <w:rtl w:val="0"/>
        </w:rPr>
        <w:t xml:space="preserve">, los viajes de tripulación y las iniciativas de fidelización de clientes en distintos puntos de contacto. El acuerdo se basa en más de una década de colaboración.</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En virtud del último MoU  </w:t>
      </w:r>
      <w:r w:rsidDel="00000000" w:rsidR="00000000" w:rsidRPr="00000000">
        <w:rPr>
          <w:rFonts w:ascii="Century Gothic" w:cs="Century Gothic" w:eastAsia="Century Gothic" w:hAnsi="Century Gothic"/>
          <w:sz w:val="22"/>
          <w:szCs w:val="22"/>
          <w:rtl w:val="0"/>
        </w:rPr>
        <w:t xml:space="preserve">(Memorandum of Understanding, MoU por sus siglas en inglés)</w:t>
      </w:r>
      <w:r w:rsidDel="00000000" w:rsidR="00000000" w:rsidRPr="00000000">
        <w:rPr>
          <w:rFonts w:ascii="Century Gothic" w:cs="Century Gothic" w:eastAsia="Century Gothic" w:hAnsi="Century Gothic"/>
          <w:sz w:val="22"/>
          <w:szCs w:val="22"/>
          <w:rtl w:val="0"/>
        </w:rPr>
        <w:t xml:space="preserve">, Emirates y </w:t>
      </w:r>
      <w:r w:rsidDel="00000000" w:rsidR="00000000" w:rsidRPr="00000000">
        <w:rPr>
          <w:rFonts w:ascii="Century Gothic" w:cs="Century Gothic" w:eastAsia="Century Gothic" w:hAnsi="Century Gothic"/>
          <w:b w:val="1"/>
          <w:bCs w:val="1"/>
          <w:i w:val="1"/>
          <w:iCs w:val="1"/>
          <w:sz w:val="22"/>
          <w:szCs w:val="22"/>
          <w:rtl w:val="0"/>
        </w:rPr>
        <w:t xml:space="preserve">MSC Cruises</w:t>
      </w:r>
      <w:r w:rsidDel="00000000" w:rsidR="00000000" w:rsidRPr="00000000">
        <w:rPr>
          <w:rFonts w:ascii="Century Gothic" w:cs="Century Gothic" w:eastAsia="Century Gothic" w:hAnsi="Century Gothic"/>
          <w:sz w:val="22"/>
          <w:szCs w:val="22"/>
          <w:rtl w:val="0"/>
        </w:rPr>
        <w:t xml:space="preserve"> ampliarán la distribución </w:t>
      </w:r>
      <w:r w:rsidDel="00000000" w:rsidR="00000000" w:rsidRPr="00000000">
        <w:rPr>
          <w:rFonts w:ascii="Century Gothic" w:cs="Century Gothic" w:eastAsia="Century Gothic" w:hAnsi="Century Gothic"/>
          <w:i w:val="1"/>
          <w:iCs w:val="1"/>
          <w:sz w:val="22"/>
          <w:szCs w:val="22"/>
          <w:rtl w:val="0"/>
        </w:rPr>
        <w:t xml:space="preserve">fly-cruise</w:t>
      </w:r>
      <w:r w:rsidDel="00000000" w:rsidR="00000000" w:rsidRPr="00000000">
        <w:rPr>
          <w:rFonts w:ascii="Century Gothic" w:cs="Century Gothic" w:eastAsia="Century Gothic" w:hAnsi="Century Gothic"/>
          <w:sz w:val="22"/>
          <w:szCs w:val="22"/>
          <w:rtl w:val="0"/>
        </w:rPr>
        <w:t xml:space="preserve"> a través de la red de Emirates, en línea con la estrategia estacional de </w:t>
      </w:r>
      <w:r w:rsidDel="00000000" w:rsidR="00000000" w:rsidRPr="00000000">
        <w:rPr>
          <w:rFonts w:ascii="Century Gothic" w:cs="Century Gothic" w:eastAsia="Century Gothic" w:hAnsi="Century Gothic"/>
          <w:i w:val="1"/>
          <w:iCs w:val="1"/>
          <w:sz w:val="22"/>
          <w:szCs w:val="22"/>
          <w:rtl w:val="0"/>
        </w:rPr>
        <w:t xml:space="preserve">homeports</w:t>
      </w:r>
      <w:r w:rsidDel="00000000" w:rsidR="00000000" w:rsidRPr="00000000">
        <w:rPr>
          <w:rFonts w:ascii="Century Gothic" w:cs="Century Gothic" w:eastAsia="Century Gothic" w:hAnsi="Century Gothic"/>
          <w:sz w:val="22"/>
          <w:szCs w:val="22"/>
          <w:rtl w:val="0"/>
        </w:rPr>
        <w:t xml:space="preserve"> de </w:t>
      </w:r>
      <w:r w:rsidDel="00000000" w:rsidR="00000000" w:rsidRPr="00000000">
        <w:rPr>
          <w:rFonts w:ascii="Century Gothic" w:cs="Century Gothic" w:eastAsia="Century Gothic" w:hAnsi="Century Gothic"/>
          <w:i w:val="1"/>
          <w:iCs w:val="1"/>
          <w:sz w:val="22"/>
          <w:szCs w:val="22"/>
          <w:rtl w:val="0"/>
        </w:rPr>
        <w:t xml:space="preserve">MSC Cruises</w:t>
      </w:r>
      <w:r w:rsidDel="00000000" w:rsidR="00000000" w:rsidRPr="00000000">
        <w:rPr>
          <w:rFonts w:ascii="Century Gothic" w:cs="Century Gothic" w:eastAsia="Century Gothic" w:hAnsi="Century Gothic"/>
          <w:sz w:val="22"/>
          <w:szCs w:val="22"/>
          <w:rtl w:val="0"/>
        </w:rPr>
        <w:t xml:space="preserve">, desarrollando </w:t>
      </w:r>
      <w:r w:rsidDel="00000000" w:rsidR="00000000" w:rsidRPr="00000000">
        <w:rPr>
          <w:rFonts w:ascii="Century Gothic" w:cs="Century Gothic" w:eastAsia="Century Gothic" w:hAnsi="Century Gothic"/>
          <w:i w:val="1"/>
          <w:iCs w:val="1"/>
          <w:sz w:val="22"/>
          <w:szCs w:val="22"/>
          <w:rtl w:val="0"/>
        </w:rPr>
        <w:t xml:space="preserve">through-fares</w:t>
      </w:r>
      <w:r w:rsidDel="00000000" w:rsidR="00000000" w:rsidRPr="00000000">
        <w:rPr>
          <w:rFonts w:ascii="Century Gothic" w:cs="Century Gothic" w:eastAsia="Century Gothic" w:hAnsi="Century Gothic"/>
          <w:sz w:val="22"/>
          <w:szCs w:val="22"/>
          <w:rtl w:val="0"/>
        </w:rPr>
        <w:t xml:space="preserve">, itinerarios </w:t>
      </w:r>
      <w:r w:rsidDel="00000000" w:rsidR="00000000" w:rsidRPr="00000000">
        <w:rPr>
          <w:rFonts w:ascii="Century Gothic" w:cs="Century Gothic" w:eastAsia="Century Gothic" w:hAnsi="Century Gothic"/>
          <w:i w:val="1"/>
          <w:iCs w:val="1"/>
          <w:sz w:val="22"/>
          <w:szCs w:val="22"/>
          <w:rtl w:val="0"/>
        </w:rPr>
        <w:t xml:space="preserve">open-jaw</w:t>
      </w:r>
      <w:r w:rsidDel="00000000" w:rsidR="00000000" w:rsidRPr="00000000">
        <w:rPr>
          <w:rFonts w:ascii="Century Gothic" w:cs="Century Gothic" w:eastAsia="Century Gothic" w:hAnsi="Century Gothic"/>
          <w:sz w:val="22"/>
          <w:szCs w:val="22"/>
          <w:rtl w:val="0"/>
        </w:rPr>
        <w:t xml:space="preserve"> y revisando los mercados </w:t>
      </w:r>
      <w:r w:rsidDel="00000000" w:rsidR="00000000" w:rsidRPr="00000000">
        <w:rPr>
          <w:rFonts w:ascii="Century Gothic" w:cs="Century Gothic" w:eastAsia="Century Gothic" w:hAnsi="Century Gothic"/>
          <w:i w:val="1"/>
          <w:iCs w:val="1"/>
          <w:sz w:val="22"/>
          <w:szCs w:val="22"/>
          <w:rtl w:val="0"/>
        </w:rPr>
        <w:t xml:space="preserve">gateway</w:t>
      </w:r>
      <w:r w:rsidDel="00000000" w:rsidR="00000000" w:rsidRPr="00000000">
        <w:rPr>
          <w:rFonts w:ascii="Century Gothic" w:cs="Century Gothic" w:eastAsia="Century Gothic" w:hAnsi="Century Gothic"/>
          <w:sz w:val="22"/>
          <w:szCs w:val="22"/>
          <w:rtl w:val="0"/>
        </w:rPr>
        <w:t xml:space="preserve"> para identificar nuevas oportunidades de colaboración. La alianza también permitirá desarrollar productos adaptados para </w:t>
      </w:r>
      <w:r w:rsidDel="00000000" w:rsidR="00000000" w:rsidRPr="00000000">
        <w:rPr>
          <w:rFonts w:ascii="Century Gothic" w:cs="Century Gothic" w:eastAsia="Century Gothic" w:hAnsi="Century Gothic"/>
          <w:i w:val="1"/>
          <w:iCs w:val="1"/>
          <w:sz w:val="22"/>
          <w:szCs w:val="22"/>
          <w:rtl w:val="0"/>
        </w:rPr>
        <w:t xml:space="preserve">MSC Grand Voyages</w:t>
      </w:r>
      <w:r w:rsidDel="00000000" w:rsidR="00000000" w:rsidRPr="00000000">
        <w:rPr>
          <w:rFonts w:ascii="Century Gothic" w:cs="Century Gothic" w:eastAsia="Century Gothic" w:hAnsi="Century Gothic"/>
          <w:sz w:val="22"/>
          <w:szCs w:val="22"/>
          <w:rtl w:val="0"/>
        </w:rPr>
        <w:t xml:space="preserve"> y </w:t>
      </w:r>
      <w:r w:rsidDel="00000000" w:rsidR="00000000" w:rsidRPr="00000000">
        <w:rPr>
          <w:rFonts w:ascii="Century Gothic" w:cs="Century Gothic" w:eastAsia="Century Gothic" w:hAnsi="Century Gothic"/>
          <w:i w:val="1"/>
          <w:iCs w:val="1"/>
          <w:sz w:val="22"/>
          <w:szCs w:val="22"/>
          <w:rtl w:val="0"/>
        </w:rPr>
        <w:t xml:space="preserve">repositioning cruises,</w:t>
      </w:r>
      <w:r w:rsidDel="00000000" w:rsidR="00000000" w:rsidRPr="00000000">
        <w:rPr>
          <w:rFonts w:ascii="Century Gothic" w:cs="Century Gothic" w:eastAsia="Century Gothic" w:hAnsi="Century Gothic"/>
          <w:sz w:val="22"/>
          <w:szCs w:val="22"/>
          <w:rtl w:val="0"/>
        </w:rPr>
        <w:t xml:space="preserve"> aprovechando la red de Emirates para crear opciones de viaje </w:t>
      </w:r>
      <w:r w:rsidDel="00000000" w:rsidR="00000000" w:rsidRPr="00000000">
        <w:rPr>
          <w:rFonts w:ascii="Century Gothic" w:cs="Century Gothic" w:eastAsia="Century Gothic" w:hAnsi="Century Gothic"/>
          <w:i w:val="1"/>
          <w:iCs w:val="1"/>
          <w:sz w:val="22"/>
          <w:szCs w:val="22"/>
          <w:rtl w:val="0"/>
        </w:rPr>
        <w:t xml:space="preserve">one-way</w:t>
      </w:r>
      <w:r w:rsidDel="00000000" w:rsidR="00000000" w:rsidRPr="00000000">
        <w:rPr>
          <w:rFonts w:ascii="Century Gothic" w:cs="Century Gothic" w:eastAsia="Century Gothic" w:hAnsi="Century Gothic"/>
          <w:sz w:val="22"/>
          <w:szCs w:val="22"/>
          <w:rtl w:val="0"/>
        </w:rPr>
        <w:t xml:space="preserve"> fluidas para los pasajeros que navegan entre distintas regiones. Emirates y MCS explorarán la ampliación del modelo de Port Rashid en Dubái a otros puertos de cruceros, incluyendo terminal </w:t>
      </w:r>
      <w:r w:rsidDel="00000000" w:rsidR="00000000" w:rsidRPr="00000000">
        <w:rPr>
          <w:rFonts w:ascii="Century Gothic" w:cs="Century Gothic" w:eastAsia="Century Gothic" w:hAnsi="Century Gothic"/>
          <w:i w:val="1"/>
          <w:iCs w:val="1"/>
          <w:sz w:val="22"/>
          <w:szCs w:val="22"/>
          <w:rtl w:val="0"/>
        </w:rPr>
        <w:t xml:space="preserve">check-in</w:t>
      </w:r>
      <w:r w:rsidDel="00000000" w:rsidR="00000000" w:rsidRPr="00000000">
        <w:rPr>
          <w:rFonts w:ascii="Century Gothic" w:cs="Century Gothic" w:eastAsia="Century Gothic" w:hAnsi="Century Gothic"/>
          <w:sz w:val="22"/>
          <w:szCs w:val="22"/>
          <w:rtl w:val="0"/>
        </w:rPr>
        <w:t xml:space="preserve">, soluciones de </w:t>
      </w:r>
      <w:r w:rsidDel="00000000" w:rsidR="00000000" w:rsidRPr="00000000">
        <w:rPr>
          <w:rFonts w:ascii="Century Gothic" w:cs="Century Gothic" w:eastAsia="Century Gothic" w:hAnsi="Century Gothic"/>
          <w:i w:val="1"/>
          <w:iCs w:val="1"/>
          <w:sz w:val="22"/>
          <w:szCs w:val="22"/>
          <w:rtl w:val="0"/>
        </w:rPr>
        <w:t xml:space="preserve">through-baggage</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1"/>
          <w:iCs w:val="1"/>
          <w:sz w:val="22"/>
          <w:szCs w:val="22"/>
          <w:rtl w:val="0"/>
        </w:rPr>
        <w:t xml:space="preserve">transfers</w:t>
      </w:r>
      <w:r w:rsidDel="00000000" w:rsidR="00000000" w:rsidRPr="00000000">
        <w:rPr>
          <w:rFonts w:ascii="Century Gothic" w:cs="Century Gothic" w:eastAsia="Century Gothic" w:hAnsi="Century Gothic"/>
          <w:sz w:val="22"/>
          <w:szCs w:val="22"/>
          <w:rtl w:val="0"/>
        </w:rPr>
        <w:t xml:space="preserve"> coordinados y protocolos conjuntos para gestionar incidencias y la repatriación de clientes de Emirates que viajen en crucero y pasajeros de MSC.</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Una nueva área de la colaboración será la movilidad de tripulaciones. Emirates y </w:t>
      </w:r>
      <w:r w:rsidDel="00000000" w:rsidR="00000000" w:rsidRPr="00000000">
        <w:rPr>
          <w:rFonts w:ascii="Century Gothic" w:cs="Century Gothic" w:eastAsia="Century Gothic" w:hAnsi="Century Gothic"/>
          <w:i w:val="1"/>
          <w:iCs w:val="1"/>
          <w:sz w:val="22"/>
          <w:szCs w:val="22"/>
          <w:rtl w:val="0"/>
        </w:rPr>
        <w:t xml:space="preserve">MSC Cruises </w:t>
      </w:r>
      <w:r w:rsidDel="00000000" w:rsidR="00000000" w:rsidRPr="00000000">
        <w:rPr>
          <w:rFonts w:ascii="Century Gothic" w:cs="Century Gothic" w:eastAsia="Century Gothic" w:hAnsi="Century Gothic"/>
          <w:sz w:val="22"/>
          <w:szCs w:val="22"/>
          <w:rtl w:val="0"/>
        </w:rPr>
        <w:t xml:space="preserve">reforzarán la cooperación en las rotaciones de marinos, con Emirates como </w:t>
      </w:r>
      <w:r w:rsidDel="00000000" w:rsidR="00000000" w:rsidRPr="00000000">
        <w:rPr>
          <w:rFonts w:ascii="Century Gothic" w:cs="Century Gothic" w:eastAsia="Century Gothic" w:hAnsi="Century Gothic"/>
          <w:sz w:val="22"/>
          <w:szCs w:val="22"/>
          <w:rtl w:val="0"/>
        </w:rPr>
        <w:t xml:space="preserve">compañía </w:t>
      </w:r>
      <w:r w:rsidDel="00000000" w:rsidR="00000000" w:rsidRPr="00000000">
        <w:rPr>
          <w:rFonts w:ascii="Century Gothic" w:cs="Century Gothic" w:eastAsia="Century Gothic" w:hAnsi="Century Gothic"/>
          <w:sz w:val="22"/>
          <w:szCs w:val="22"/>
          <w:rtl w:val="0"/>
        </w:rPr>
        <w:t xml:space="preserve"> preferente, ofreciendo </w:t>
      </w:r>
      <w:r w:rsidDel="00000000" w:rsidR="00000000" w:rsidRPr="00000000">
        <w:rPr>
          <w:rFonts w:ascii="Century Gothic" w:cs="Century Gothic" w:eastAsia="Century Gothic" w:hAnsi="Century Gothic"/>
          <w:i w:val="1"/>
          <w:iCs w:val="1"/>
          <w:sz w:val="22"/>
          <w:szCs w:val="22"/>
          <w:rtl w:val="0"/>
        </w:rPr>
        <w:t xml:space="preserve">tarifas </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sz w:val="22"/>
          <w:szCs w:val="22"/>
          <w:rtl w:val="0"/>
        </w:rPr>
        <w:t xml:space="preserve">específicas para tripulaciones</w:t>
      </w:r>
      <w:r w:rsidDel="00000000" w:rsidR="00000000" w:rsidRPr="00000000">
        <w:rPr>
          <w:rFonts w:ascii="Century Gothic" w:cs="Century Gothic" w:eastAsia="Century Gothic" w:hAnsi="Century Gothic"/>
          <w:sz w:val="22"/>
          <w:szCs w:val="22"/>
          <w:rtl w:val="0"/>
        </w:rPr>
        <w:t xml:space="preserve">, franquicias de equipaje ampliadas y canales de atención especializados adaptados a las necesidades de los marinos.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ha firmado un acuerdo con el </w:t>
      </w:r>
      <w:r w:rsidDel="00000000" w:rsidR="00000000" w:rsidRPr="00000000">
        <w:rPr>
          <w:rFonts w:ascii="Century Gothic" w:cs="Century Gothic" w:eastAsia="Century Gothic" w:hAnsi="Century Gothic"/>
          <w:b w:val="1"/>
          <w:bCs w:val="1"/>
          <w:i w:val="1"/>
          <w:iCs w:val="1"/>
          <w:sz w:val="22"/>
          <w:szCs w:val="22"/>
          <w:rtl w:val="0"/>
        </w:rPr>
        <w:t xml:space="preserve">Finnish Business Council</w:t>
      </w:r>
      <w:r w:rsidDel="00000000" w:rsidR="00000000" w:rsidRPr="00000000">
        <w:rPr>
          <w:rFonts w:ascii="Century Gothic" w:cs="Century Gothic" w:eastAsia="Century Gothic" w:hAnsi="Century Gothic"/>
          <w:b w:val="1"/>
          <w:bCs w:val="1"/>
          <w:sz w:val="22"/>
          <w:szCs w:val="22"/>
          <w:rtl w:val="0"/>
        </w:rPr>
        <w:t xml:space="preserve"> </w:t>
      </w:r>
      <w:r w:rsidDel="00000000" w:rsidR="00000000" w:rsidRPr="00000000">
        <w:rPr>
          <w:rFonts w:ascii="Century Gothic" w:cs="Century Gothic" w:eastAsia="Century Gothic" w:hAnsi="Century Gothic"/>
          <w:sz w:val="22"/>
          <w:szCs w:val="22"/>
          <w:rtl w:val="0"/>
        </w:rPr>
        <w:t xml:space="preserve">(FBC), una organización sin ánimo de lucro que apoya a empresas y profesionales finlandeses en EAU, para desarrollar una relación que ayude a dar a conocer Emirates de forma más amplia entre la comunidad empresarial finlandesa, especialmente con la nueva ruta directa Dubái–Helsinki, que comenzará el 1 de octubre. Como parte de la colaboración, Emirates ofrecerá beneficios exclusivos a los miembros del FBC, mientras que FBC facilitará oportunidades de </w:t>
      </w:r>
      <w:r w:rsidDel="00000000" w:rsidR="00000000" w:rsidRPr="00000000">
        <w:rPr>
          <w:rFonts w:ascii="Century Gothic" w:cs="Century Gothic" w:eastAsia="Century Gothic" w:hAnsi="Century Gothic"/>
          <w:i w:val="1"/>
          <w:iCs w:val="1"/>
          <w:sz w:val="22"/>
          <w:szCs w:val="22"/>
          <w:rtl w:val="0"/>
        </w:rPr>
        <w:t xml:space="preserve">engagement</w:t>
      </w:r>
      <w:r w:rsidDel="00000000" w:rsidR="00000000" w:rsidRPr="00000000">
        <w:rPr>
          <w:rFonts w:ascii="Century Gothic" w:cs="Century Gothic" w:eastAsia="Century Gothic" w:hAnsi="Century Gothic"/>
          <w:sz w:val="22"/>
          <w:szCs w:val="22"/>
          <w:rtl w:val="0"/>
        </w:rPr>
        <w:t xml:space="preserve"> entre Emirates y su comunidad de miembros, reforzando las conexiones y la interacción continua con su red.</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ha establecido una colaboración con el </w:t>
      </w:r>
      <w:r w:rsidDel="00000000" w:rsidR="00000000" w:rsidRPr="00000000">
        <w:rPr>
          <w:rFonts w:ascii="Century Gothic" w:cs="Century Gothic" w:eastAsia="Century Gothic" w:hAnsi="Century Gothic"/>
          <w:b w:val="1"/>
          <w:bCs w:val="1"/>
          <w:i w:val="1"/>
          <w:iCs w:val="1"/>
          <w:sz w:val="22"/>
          <w:szCs w:val="22"/>
          <w:rtl w:val="0"/>
        </w:rPr>
        <w:t xml:space="preserve">Vietnamese Business Council</w:t>
      </w:r>
      <w:r w:rsidDel="00000000" w:rsidR="00000000" w:rsidRPr="00000000">
        <w:rPr>
          <w:rFonts w:ascii="Century Gothic" w:cs="Century Gothic" w:eastAsia="Century Gothic" w:hAnsi="Century Gothic"/>
          <w:b w:val="1"/>
          <w:bCs w:val="1"/>
          <w:sz w:val="22"/>
          <w:szCs w:val="22"/>
          <w:rtl w:val="0"/>
        </w:rPr>
        <w:t xml:space="preserve"> </w:t>
      </w:r>
      <w:r w:rsidDel="00000000" w:rsidR="00000000" w:rsidRPr="00000000">
        <w:rPr>
          <w:rFonts w:ascii="Century Gothic" w:cs="Century Gothic" w:eastAsia="Century Gothic" w:hAnsi="Century Gothic"/>
          <w:sz w:val="22"/>
          <w:szCs w:val="22"/>
          <w:rtl w:val="0"/>
        </w:rPr>
        <w:t xml:space="preserve">(VNBC), una organización sin ánimo de lucro que apoya a empresas y profesionales vietnamitas en </w:t>
      </w:r>
      <w:r w:rsidDel="00000000" w:rsidR="00000000" w:rsidRPr="00000000">
        <w:rPr>
          <w:rFonts w:ascii="Century Gothic" w:cs="Century Gothic" w:eastAsia="Century Gothic" w:hAnsi="Century Gothic"/>
          <w:sz w:val="22"/>
          <w:szCs w:val="22"/>
          <w:rtl w:val="0"/>
        </w:rPr>
        <w:t xml:space="preserve">los</w:t>
      </w:r>
      <w:r w:rsidDel="00000000" w:rsidR="00000000" w:rsidRPr="00000000">
        <w:rPr>
          <w:rFonts w:ascii="Century Gothic" w:cs="Century Gothic" w:eastAsia="Century Gothic" w:hAnsi="Century Gothic"/>
          <w:sz w:val="22"/>
          <w:szCs w:val="22"/>
          <w:rtl w:val="0"/>
        </w:rPr>
        <w:t xml:space="preserve"> EAU, para estrechar los vínculos con la comunidad empresarial vietnamita. El acuerdo se produce tras el anuncio de servicios adicionales a Hanoi y Ho Chi Minh City a partir de este invierno, ofreciendo a los miembros más opciones al viajar entre los puntos de la aerolínea en Vietnam y Dubái. En virtud del acuerdo, los miembros de VNBC tendrán acceso a beneficios exclusivos de Emirates, mientras que VNBC creará oportunidades de </w:t>
      </w:r>
      <w:r w:rsidDel="00000000" w:rsidR="00000000" w:rsidRPr="00000000">
        <w:rPr>
          <w:rFonts w:ascii="Century Gothic" w:cs="Century Gothic" w:eastAsia="Century Gothic" w:hAnsi="Century Gothic"/>
          <w:i w:val="1"/>
          <w:iCs w:val="1"/>
          <w:sz w:val="22"/>
          <w:szCs w:val="22"/>
          <w:rtl w:val="0"/>
        </w:rPr>
        <w:t xml:space="preserve">engagement</w:t>
      </w:r>
      <w:r w:rsidDel="00000000" w:rsidR="00000000" w:rsidRPr="00000000">
        <w:rPr>
          <w:rFonts w:ascii="Century Gothic" w:cs="Century Gothic" w:eastAsia="Century Gothic" w:hAnsi="Century Gothic"/>
          <w:sz w:val="22"/>
          <w:szCs w:val="22"/>
          <w:rtl w:val="0"/>
        </w:rPr>
        <w:t xml:space="preserve"> a través de su red y con la aerolínea.</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se ha asociado con </w:t>
      </w:r>
      <w:r w:rsidDel="00000000" w:rsidR="00000000" w:rsidRPr="00000000">
        <w:rPr>
          <w:rFonts w:ascii="Century Gothic" w:cs="Century Gothic" w:eastAsia="Century Gothic" w:hAnsi="Century Gothic"/>
          <w:b w:val="1"/>
          <w:bCs w:val="1"/>
          <w:i w:val="1"/>
          <w:iCs w:val="1"/>
          <w:sz w:val="22"/>
          <w:szCs w:val="22"/>
          <w:rtl w:val="0"/>
        </w:rPr>
        <w:t xml:space="preserve">Cutting Edge</w:t>
      </w:r>
      <w:r w:rsidDel="00000000" w:rsidR="00000000" w:rsidRPr="00000000">
        <w:rPr>
          <w:rFonts w:ascii="Century Gothic" w:cs="Century Gothic" w:eastAsia="Century Gothic" w:hAnsi="Century Gothic"/>
          <w:sz w:val="22"/>
          <w:szCs w:val="22"/>
          <w:rtl w:val="0"/>
        </w:rPr>
        <w:t xml:space="preserve">, una </w:t>
      </w:r>
      <w:r w:rsidDel="00000000" w:rsidR="00000000" w:rsidRPr="00000000">
        <w:rPr>
          <w:rFonts w:ascii="Century Gothic" w:cs="Century Gothic" w:eastAsia="Century Gothic" w:hAnsi="Century Gothic"/>
          <w:i w:val="1"/>
          <w:iCs w:val="1"/>
          <w:sz w:val="22"/>
          <w:szCs w:val="22"/>
          <w:rtl w:val="0"/>
        </w:rPr>
        <w:t xml:space="preserve">Travel Management Company</w:t>
      </w:r>
      <w:r w:rsidDel="00000000" w:rsidR="00000000" w:rsidRPr="00000000">
        <w:rPr>
          <w:rFonts w:ascii="Century Gothic" w:cs="Century Gothic" w:eastAsia="Century Gothic" w:hAnsi="Century Gothic"/>
          <w:sz w:val="22"/>
          <w:szCs w:val="22"/>
          <w:rtl w:val="0"/>
        </w:rPr>
        <w:t xml:space="preserve"> líder especializada en turismo deportivo internacional, para desarrollar paquetes de viaje a medida para aficionados que asistan a grandes eventos deportivos en todo el mundo. La colaboración combina la red de Emirates, con cerca de 140 destinos, con el acceso de </w:t>
      </w:r>
      <w:r w:rsidDel="00000000" w:rsidR="00000000" w:rsidRPr="00000000">
        <w:rPr>
          <w:rFonts w:ascii="Century Gothic" w:cs="Century Gothic" w:eastAsia="Century Gothic" w:hAnsi="Century Gothic"/>
          <w:i w:val="1"/>
          <w:iCs w:val="1"/>
          <w:sz w:val="22"/>
          <w:szCs w:val="22"/>
          <w:rtl w:val="0"/>
        </w:rPr>
        <w:t xml:space="preserve">Cutting Edge</w:t>
      </w:r>
      <w:r w:rsidDel="00000000" w:rsidR="00000000" w:rsidRPr="00000000">
        <w:rPr>
          <w:rFonts w:ascii="Century Gothic" w:cs="Century Gothic" w:eastAsia="Century Gothic" w:hAnsi="Century Gothic"/>
          <w:sz w:val="22"/>
          <w:szCs w:val="22"/>
          <w:rtl w:val="0"/>
        </w:rPr>
        <w:t xml:space="preserve"> a cricket, fútbol, </w:t>
      </w:r>
      <w:r w:rsidDel="00000000" w:rsidR="00000000" w:rsidRPr="00000000">
        <w:rPr>
          <w:rFonts w:ascii="Century Gothic" w:cs="Century Gothic" w:eastAsia="Century Gothic" w:hAnsi="Century Gothic"/>
          <w:i w:val="1"/>
          <w:iCs w:val="1"/>
          <w:sz w:val="22"/>
          <w:szCs w:val="22"/>
          <w:rtl w:val="0"/>
        </w:rPr>
        <w:t xml:space="preserve">motorsports</w:t>
      </w:r>
      <w:r w:rsidDel="00000000" w:rsidR="00000000" w:rsidRPr="00000000">
        <w:rPr>
          <w:rFonts w:ascii="Century Gothic" w:cs="Century Gothic" w:eastAsia="Century Gothic" w:hAnsi="Century Gothic"/>
          <w:sz w:val="22"/>
          <w:szCs w:val="22"/>
          <w:rtl w:val="0"/>
        </w:rPr>
        <w:t xml:space="preserve">, golf y tenis, ofreciendo viajes completos alineados con las propiedades de patrocinio de Emirates y otros grandes eventos del calendario deportivo.</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Holidays, la división de </w:t>
      </w:r>
      <w:r w:rsidDel="00000000" w:rsidR="00000000" w:rsidRPr="00000000">
        <w:rPr>
          <w:rFonts w:ascii="Century Gothic" w:cs="Century Gothic" w:eastAsia="Century Gothic" w:hAnsi="Century Gothic"/>
          <w:i w:val="1"/>
          <w:iCs w:val="1"/>
          <w:sz w:val="22"/>
          <w:szCs w:val="22"/>
          <w:rtl w:val="0"/>
        </w:rPr>
        <w:t xml:space="preserve">tour operating</w:t>
      </w:r>
      <w:r w:rsidDel="00000000" w:rsidR="00000000" w:rsidRPr="00000000">
        <w:rPr>
          <w:rFonts w:ascii="Century Gothic" w:cs="Century Gothic" w:eastAsia="Century Gothic" w:hAnsi="Century Gothic"/>
          <w:sz w:val="22"/>
          <w:szCs w:val="22"/>
          <w:rtl w:val="0"/>
        </w:rPr>
        <w:t xml:space="preserve"> de Emirates, y la </w:t>
      </w:r>
      <w:r w:rsidDel="00000000" w:rsidR="00000000" w:rsidRPr="00000000">
        <w:rPr>
          <w:rFonts w:ascii="Century Gothic" w:cs="Century Gothic" w:eastAsia="Century Gothic" w:hAnsi="Century Gothic"/>
          <w:b w:val="1"/>
          <w:bCs w:val="1"/>
          <w:sz w:val="22"/>
          <w:szCs w:val="22"/>
          <w:rtl w:val="0"/>
        </w:rPr>
        <w:t xml:space="preserve">Turismo de España</w:t>
      </w:r>
      <w:r w:rsidDel="00000000" w:rsidR="00000000" w:rsidRPr="00000000">
        <w:rPr>
          <w:rFonts w:ascii="Century Gothic" w:cs="Century Gothic" w:eastAsia="Century Gothic" w:hAnsi="Century Gothic"/>
          <w:sz w:val="22"/>
          <w:szCs w:val="22"/>
          <w:rtl w:val="0"/>
        </w:rPr>
        <w:t xml:space="preserve"> han firmado un MoU </w:t>
      </w:r>
      <w:r w:rsidDel="00000000" w:rsidR="00000000" w:rsidRPr="00000000">
        <w:rPr>
          <w:rFonts w:ascii="Century Gothic" w:cs="Century Gothic" w:eastAsia="Century Gothic" w:hAnsi="Century Gothic"/>
          <w:sz w:val="22"/>
          <w:szCs w:val="22"/>
          <w:rtl w:val="0"/>
        </w:rPr>
        <w:t xml:space="preserve">(Memorandum of Understanding, MoU por sus siglas en inglés)</w:t>
      </w:r>
      <w:r w:rsidDel="00000000" w:rsidR="00000000" w:rsidRPr="00000000">
        <w:rPr>
          <w:rFonts w:ascii="Century Gothic" w:cs="Century Gothic" w:eastAsia="Century Gothic" w:hAnsi="Century Gothic"/>
          <w:sz w:val="22"/>
          <w:szCs w:val="22"/>
          <w:rtl w:val="0"/>
        </w:rPr>
        <w:t xml:space="preserve">  para impulsar el turismo receptivo hacia España. La colaboración tiene como objetivo inspirar a más viajeros de la extensa red de Emirates en </w:t>
      </w:r>
      <w:r w:rsidDel="00000000" w:rsidR="00000000" w:rsidRPr="00000000">
        <w:rPr>
          <w:rFonts w:ascii="Century Gothic" w:cs="Century Gothic" w:eastAsia="Century Gothic" w:hAnsi="Century Gothic"/>
          <w:sz w:val="22"/>
          <w:szCs w:val="22"/>
          <w:rtl w:val="0"/>
        </w:rPr>
        <w:t xml:space="preserve">Oriente Medio</w:t>
      </w:r>
      <w:r w:rsidDel="00000000" w:rsidR="00000000" w:rsidRPr="00000000">
        <w:rPr>
          <w:rFonts w:ascii="Century Gothic" w:cs="Century Gothic" w:eastAsia="Century Gothic" w:hAnsi="Century Gothic"/>
          <w:sz w:val="22"/>
          <w:szCs w:val="22"/>
          <w:rtl w:val="0"/>
        </w:rPr>
        <w:t xml:space="preserve"> a descubrir la rica cultura, los diversos paisajes y la hospitalidad de primer nivel de España mediante los paquetes seleccionados de </w:t>
      </w:r>
      <w:r w:rsidDel="00000000" w:rsidR="00000000" w:rsidRPr="00000000">
        <w:rPr>
          <w:rFonts w:ascii="Century Gothic" w:cs="Century Gothic" w:eastAsia="Century Gothic" w:hAnsi="Century Gothic"/>
          <w:i w:val="1"/>
          <w:iCs w:val="1"/>
          <w:sz w:val="22"/>
          <w:szCs w:val="22"/>
          <w:rtl w:val="0"/>
        </w:rPr>
        <w:t xml:space="preserve">Emirates Holidays</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La colaboración permitirá a ambas partes explorar una serie de iniciativas diseñadas para aumentar el conocimiento del destino en mercados clave de Oriente Medio y fomentar las reservas de paquetes vacacionales. Estas incluyen campañas de marketing integradas, promociones estacionales que destaquen la variedad de experiencias turísticas de España, así como paquetes vacacionales exclusivos que combinen los galardonados vuelos de Emirates con alojamiento </w:t>
      </w:r>
      <w:r w:rsidDel="00000000" w:rsidR="00000000" w:rsidRPr="00000000">
        <w:rPr>
          <w:rFonts w:ascii="Century Gothic" w:cs="Century Gothic" w:eastAsia="Century Gothic" w:hAnsi="Century Gothic"/>
          <w:i w:val="1"/>
          <w:iCs w:val="1"/>
          <w:sz w:val="22"/>
          <w:szCs w:val="22"/>
          <w:rtl w:val="0"/>
        </w:rPr>
        <w:t xml:space="preserve">premium</w:t>
      </w:r>
      <w:r w:rsidDel="00000000" w:rsidR="00000000" w:rsidRPr="00000000">
        <w:rPr>
          <w:rFonts w:ascii="Century Gothic" w:cs="Century Gothic" w:eastAsia="Century Gothic" w:hAnsi="Century Gothic"/>
          <w:sz w:val="22"/>
          <w:szCs w:val="22"/>
          <w:rtl w:val="0"/>
        </w:rPr>
        <w:t xml:space="preserve">, experiencias locales únicas y beneficios adicionales para los viajeros.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w:t>
      </w:r>
      <w:r w:rsidDel="00000000" w:rsidR="00000000" w:rsidRPr="00000000">
        <w:rPr>
          <w:rFonts w:ascii="Century Gothic" w:cs="Century Gothic" w:eastAsia="Century Gothic" w:hAnsi="Century Gothic"/>
          <w:i w:val="1"/>
          <w:iCs w:val="1"/>
          <w:sz w:val="22"/>
          <w:szCs w:val="22"/>
          <w:rtl w:val="0"/>
        </w:rPr>
        <w:t xml:space="preserve">Skywards</w:t>
      </w:r>
      <w:r w:rsidDel="00000000" w:rsidR="00000000" w:rsidRPr="00000000">
        <w:rPr>
          <w:rFonts w:ascii="Century Gothic" w:cs="Century Gothic" w:eastAsia="Century Gothic" w:hAnsi="Century Gothic"/>
          <w:sz w:val="22"/>
          <w:szCs w:val="22"/>
          <w:rtl w:val="0"/>
        </w:rPr>
        <w:t xml:space="preserve"> y </w:t>
      </w:r>
      <w:r w:rsidDel="00000000" w:rsidR="00000000" w:rsidRPr="00000000">
        <w:rPr>
          <w:rFonts w:ascii="Century Gothic" w:cs="Century Gothic" w:eastAsia="Century Gothic" w:hAnsi="Century Gothic"/>
          <w:b w:val="1"/>
          <w:bCs w:val="1"/>
          <w:sz w:val="22"/>
          <w:szCs w:val="22"/>
          <w:rtl w:val="0"/>
        </w:rPr>
        <w:t xml:space="preserve">Emirates </w:t>
      </w:r>
      <w:r w:rsidDel="00000000" w:rsidR="00000000" w:rsidRPr="00000000">
        <w:rPr>
          <w:rFonts w:ascii="Century Gothic" w:cs="Century Gothic" w:eastAsia="Century Gothic" w:hAnsi="Century Gothic"/>
          <w:b w:val="1"/>
          <w:bCs w:val="1"/>
          <w:i w:val="1"/>
          <w:iCs w:val="1"/>
          <w:sz w:val="22"/>
          <w:szCs w:val="22"/>
          <w:rtl w:val="0"/>
        </w:rPr>
        <w:t xml:space="preserve">Islamic</w:t>
      </w:r>
      <w:r w:rsidDel="00000000" w:rsidR="00000000" w:rsidRPr="00000000">
        <w:rPr>
          <w:rFonts w:ascii="Century Gothic" w:cs="Century Gothic" w:eastAsia="Century Gothic" w:hAnsi="Century Gothic"/>
          <w:sz w:val="22"/>
          <w:szCs w:val="22"/>
          <w:rtl w:val="0"/>
        </w:rPr>
        <w:t xml:space="preserve"> han reforzado su histórica colaboración mediante la renovación de su acuerdo estratégico durante ATM, comprometiéndose a mantener el foco en la innovación de productos y en mejorar los beneficios y experiencias disponibles para los titulares de las tarjetas Emirates </w:t>
      </w:r>
      <w:r w:rsidDel="00000000" w:rsidR="00000000" w:rsidRPr="00000000">
        <w:rPr>
          <w:rFonts w:ascii="Century Gothic" w:cs="Century Gothic" w:eastAsia="Century Gothic" w:hAnsi="Century Gothic"/>
          <w:i w:val="1"/>
          <w:iCs w:val="1"/>
          <w:sz w:val="22"/>
          <w:szCs w:val="22"/>
          <w:rtl w:val="0"/>
        </w:rPr>
        <w:t xml:space="preserve">Islamic Skywards cobrand</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Sobre la base de una colaboración de 18 años, la alianza ha evolucionado hasta incluir tres tarjetas Emirates </w:t>
      </w:r>
      <w:r w:rsidDel="00000000" w:rsidR="00000000" w:rsidRPr="00000000">
        <w:rPr>
          <w:rFonts w:ascii="Century Gothic" w:cs="Century Gothic" w:eastAsia="Century Gothic" w:hAnsi="Century Gothic"/>
          <w:i w:val="1"/>
          <w:iCs w:val="1"/>
          <w:sz w:val="22"/>
          <w:szCs w:val="22"/>
          <w:rtl w:val="0"/>
        </w:rPr>
        <w:t xml:space="preserve">Skywards co branded</w:t>
      </w:r>
      <w:r w:rsidDel="00000000" w:rsidR="00000000" w:rsidRPr="00000000">
        <w:rPr>
          <w:rFonts w:ascii="Century Gothic" w:cs="Century Gothic" w:eastAsia="Century Gothic" w:hAnsi="Century Gothic"/>
          <w:sz w:val="22"/>
          <w:szCs w:val="22"/>
          <w:rtl w:val="0"/>
        </w:rPr>
        <w:t xml:space="preserve">, entre ellas la galardonada tarjeta metálica Emirates </w:t>
      </w:r>
      <w:r w:rsidDel="00000000" w:rsidR="00000000" w:rsidRPr="00000000">
        <w:rPr>
          <w:rFonts w:ascii="Century Gothic" w:cs="Century Gothic" w:eastAsia="Century Gothic" w:hAnsi="Century Gothic"/>
          <w:i w:val="1"/>
          <w:iCs w:val="1"/>
          <w:sz w:val="22"/>
          <w:szCs w:val="22"/>
          <w:rtl w:val="0"/>
        </w:rPr>
        <w:t xml:space="preserve">Islamic Skywards Black Card</w:t>
      </w:r>
      <w:r w:rsidDel="00000000" w:rsidR="00000000" w:rsidRPr="00000000">
        <w:rPr>
          <w:rFonts w:ascii="Century Gothic" w:cs="Century Gothic" w:eastAsia="Century Gothic" w:hAnsi="Century Gothic"/>
          <w:sz w:val="22"/>
          <w:szCs w:val="22"/>
          <w:rtl w:val="0"/>
        </w:rPr>
        <w:t xml:space="preserve">, además de una </w:t>
      </w:r>
      <w:r w:rsidDel="00000000" w:rsidR="00000000" w:rsidRPr="00000000">
        <w:rPr>
          <w:rFonts w:ascii="Century Gothic" w:cs="Century Gothic" w:eastAsia="Century Gothic" w:hAnsi="Century Gothic"/>
          <w:i w:val="1"/>
          <w:iCs w:val="1"/>
          <w:sz w:val="22"/>
          <w:szCs w:val="22"/>
          <w:rtl w:val="0"/>
        </w:rPr>
        <w:t xml:space="preserve">Savings Account cobrand</w:t>
      </w:r>
      <w:r w:rsidDel="00000000" w:rsidR="00000000" w:rsidRPr="00000000">
        <w:rPr>
          <w:rFonts w:ascii="Century Gothic" w:cs="Century Gothic" w:eastAsia="Century Gothic" w:hAnsi="Century Gothic"/>
          <w:sz w:val="22"/>
          <w:szCs w:val="22"/>
          <w:rtl w:val="0"/>
        </w:rPr>
        <w:t xml:space="preserve">, una propuesta </w:t>
      </w:r>
      <w:r w:rsidDel="00000000" w:rsidR="00000000" w:rsidRPr="00000000">
        <w:rPr>
          <w:rFonts w:ascii="Century Gothic" w:cs="Century Gothic" w:eastAsia="Century Gothic" w:hAnsi="Century Gothic"/>
          <w:i w:val="1"/>
          <w:iCs w:val="1"/>
          <w:sz w:val="22"/>
          <w:szCs w:val="22"/>
          <w:rtl w:val="0"/>
        </w:rPr>
        <w:t xml:space="preserve">Salary Transfer</w:t>
      </w:r>
      <w:r w:rsidDel="00000000" w:rsidR="00000000" w:rsidRPr="00000000">
        <w:rPr>
          <w:rFonts w:ascii="Century Gothic" w:cs="Century Gothic" w:eastAsia="Century Gothic" w:hAnsi="Century Gothic"/>
          <w:sz w:val="22"/>
          <w:szCs w:val="22"/>
          <w:rtl w:val="0"/>
        </w:rPr>
        <w:t xml:space="preserve"> y un producto de intercambio de millas.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22"/>
          <w:szCs w:val="22"/>
          <w:rtl w:val="0"/>
        </w:rPr>
        <w:t xml:space="preserve">La colaboración comenzó con el lanzamiento de la Emirates </w:t>
      </w:r>
      <w:r w:rsidDel="00000000" w:rsidR="00000000" w:rsidRPr="00000000">
        <w:rPr>
          <w:rFonts w:ascii="Century Gothic" w:cs="Century Gothic" w:eastAsia="Century Gothic" w:hAnsi="Century Gothic"/>
          <w:i w:val="1"/>
          <w:iCs w:val="1"/>
          <w:sz w:val="22"/>
          <w:szCs w:val="22"/>
          <w:rtl w:val="0"/>
        </w:rPr>
        <w:t xml:space="preserve">Islamic Skywards Card</w:t>
      </w:r>
      <w:r w:rsidDel="00000000" w:rsidR="00000000" w:rsidRPr="00000000">
        <w:rPr>
          <w:rFonts w:ascii="Century Gothic" w:cs="Century Gothic" w:eastAsia="Century Gothic" w:hAnsi="Century Gothic"/>
          <w:sz w:val="22"/>
          <w:szCs w:val="22"/>
          <w:rtl w:val="0"/>
        </w:rPr>
        <w:t xml:space="preserve"> en 2008, que supuso la introducción de la primera tarjeta de crédito de una aerolínea con </w:t>
      </w:r>
      <w:r w:rsidDel="00000000" w:rsidR="00000000" w:rsidRPr="00000000">
        <w:rPr>
          <w:rFonts w:ascii="Century Gothic" w:cs="Century Gothic" w:eastAsia="Century Gothic" w:hAnsi="Century Gothic"/>
          <w:i w:val="1"/>
          <w:iCs w:val="1"/>
          <w:sz w:val="22"/>
          <w:szCs w:val="22"/>
          <w:rtl w:val="0"/>
        </w:rPr>
        <w:t xml:space="preserve">cobrand</w:t>
      </w:r>
      <w:r w:rsidDel="00000000" w:rsidR="00000000" w:rsidRPr="00000000">
        <w:rPr>
          <w:rFonts w:ascii="Century Gothic" w:cs="Century Gothic" w:eastAsia="Century Gothic" w:hAnsi="Century Gothic"/>
          <w:sz w:val="22"/>
          <w:szCs w:val="22"/>
          <w:rtl w:val="0"/>
        </w:rPr>
        <w:t xml:space="preserve"> islámico de la región, combinando la propuesta bancaria de Emirates </w:t>
      </w:r>
      <w:r w:rsidDel="00000000" w:rsidR="00000000" w:rsidRPr="00000000">
        <w:rPr>
          <w:rFonts w:ascii="Century Gothic" w:cs="Century Gothic" w:eastAsia="Century Gothic" w:hAnsi="Century Gothic"/>
          <w:i w:val="1"/>
          <w:iCs w:val="1"/>
          <w:sz w:val="22"/>
          <w:szCs w:val="22"/>
          <w:rtl w:val="0"/>
        </w:rPr>
        <w:t xml:space="preserve">Islamic</w:t>
      </w:r>
      <w:r w:rsidDel="00000000" w:rsidR="00000000" w:rsidRPr="00000000">
        <w:rPr>
          <w:rFonts w:ascii="Century Gothic" w:cs="Century Gothic" w:eastAsia="Century Gothic" w:hAnsi="Century Gothic"/>
          <w:sz w:val="22"/>
          <w:szCs w:val="22"/>
          <w:rtl w:val="0"/>
        </w:rPr>
        <w:t xml:space="preserve">, conforme a la Shariah, con los beneficios del programa de fidelización Emirates </w:t>
      </w:r>
      <w:r w:rsidDel="00000000" w:rsidR="00000000" w:rsidRPr="00000000">
        <w:rPr>
          <w:rFonts w:ascii="Century Gothic" w:cs="Century Gothic" w:eastAsia="Century Gothic" w:hAnsi="Century Gothic"/>
          <w:i w:val="1"/>
          <w:iCs w:val="1"/>
          <w:sz w:val="22"/>
          <w:szCs w:val="22"/>
          <w:rtl w:val="0"/>
        </w:rPr>
        <w:t xml:space="preserve">Skywards</w:t>
      </w:r>
      <w:r w:rsidDel="00000000" w:rsidR="00000000" w:rsidRPr="00000000">
        <w:rPr>
          <w:rFonts w:ascii="Century Gothic" w:cs="Century Gothic" w:eastAsia="Century Gothic" w:hAnsi="Century Gothic"/>
          <w:sz w:val="22"/>
          <w:szCs w:val="22"/>
          <w:rtl w:val="0"/>
        </w:rPr>
        <w:t xml:space="preserve">. El acuerdo de 2026 seguirá centrado en la innovación de productos y en ofrecer beneficios y experiencias mejorados y más personalizados para los titulares de las tarjetas Emirates </w:t>
      </w:r>
      <w:r w:rsidDel="00000000" w:rsidR="00000000" w:rsidRPr="00000000">
        <w:rPr>
          <w:rFonts w:ascii="Century Gothic" w:cs="Century Gothic" w:eastAsia="Century Gothic" w:hAnsi="Century Gothic"/>
          <w:i w:val="1"/>
          <w:iCs w:val="1"/>
          <w:sz w:val="22"/>
          <w:szCs w:val="22"/>
          <w:rtl w:val="0"/>
        </w:rPr>
        <w:t xml:space="preserve">Skywards co-brand</w:t>
      </w:r>
      <w:r w:rsidDel="00000000" w:rsidR="00000000" w:rsidRPr="00000000">
        <w:rPr>
          <w:rFonts w:ascii="Century Gothic" w:cs="Century Gothic" w:eastAsia="Century Gothic" w:hAnsi="Century Gothic"/>
          <w:sz w:val="22"/>
          <w:szCs w:val="22"/>
          <w:rtl w:val="0"/>
        </w:rPr>
        <w:t xml:space="preserve">, reforzando aún más la propuesta de valor para los clientes de Emirates </w:t>
      </w:r>
      <w:r w:rsidDel="00000000" w:rsidR="00000000" w:rsidRPr="00000000">
        <w:rPr>
          <w:rFonts w:ascii="Century Gothic" w:cs="Century Gothic" w:eastAsia="Century Gothic" w:hAnsi="Century Gothic"/>
          <w:i w:val="1"/>
          <w:iCs w:val="1"/>
          <w:sz w:val="22"/>
          <w:szCs w:val="22"/>
          <w:rtl w:val="0"/>
        </w:rPr>
        <w:t xml:space="preserve">Islamic</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sectPr>
      <w:headerReference r:id="rId7" w:type="default"/>
      <w:pgSz w:h="16840" w:w="11900" w:orient="portrait"/>
      <w:pgMar w:bottom="734" w:top="1417" w:left="1276" w:right="126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073275" cy="1430655"/>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073275" cy="1430655"/>
                  </a:xfrm>
                  <a:prstGeom prst="rect"/>
                  <a:ln/>
                </pic:spPr>
              </pic:pic>
            </a:graphicData>
          </a:graphic>
        </wp:anchor>
      </w:drawing>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val="1"/>
    <w:rsid w:val="004348AD"/>
    <w:pPr>
      <w:ind w:left="720"/>
      <w:contextualSpacing w:val="1"/>
    </w:pPr>
  </w:style>
  <w:style w:type="character" w:styleId="Hipervnculo">
    <w:name w:val="Hyperlink"/>
    <w:basedOn w:val="Fuentedeprrafopredeter"/>
    <w:uiPriority w:val="99"/>
    <w:unhideWhenUsed w:val="1"/>
    <w:rsid w:val="00D15796"/>
    <w:rPr>
      <w:color w:val="0000ff" w:themeColor="hyperlink"/>
      <w:u w:val="single"/>
    </w:rPr>
  </w:style>
  <w:style w:type="character" w:styleId="Mencinsinresolver1" w:customStyle="1">
    <w:name w:val="Mención sin resolver1"/>
    <w:basedOn w:val="Fuentedeprrafopredeter"/>
    <w:uiPriority w:val="99"/>
    <w:semiHidden w:val="1"/>
    <w:unhideWhenUsed w:val="1"/>
    <w:rsid w:val="007E7562"/>
    <w:rPr>
      <w:color w:val="605e5c"/>
      <w:shd w:color="auto" w:fill="e1dfdd" w:val="clear"/>
    </w:rPr>
  </w:style>
  <w:style w:type="character" w:styleId="Hipervnculovisitado">
    <w:name w:val="FollowedHyperlink"/>
    <w:basedOn w:val="Fuentedeprrafopredeter"/>
    <w:uiPriority w:val="99"/>
    <w:semiHidden w:val="1"/>
    <w:unhideWhenUsed w:val="1"/>
    <w:rsid w:val="007E7562"/>
    <w:rPr>
      <w:color w:val="800080" w:themeColor="followedHyperlink"/>
      <w:u w:val="single"/>
    </w:rPr>
  </w:style>
  <w:style w:type="paragraph" w:styleId="Encabezado">
    <w:name w:val="header"/>
    <w:basedOn w:val="Normal"/>
    <w:link w:val="EncabezadoCar"/>
    <w:uiPriority w:val="99"/>
    <w:unhideWhenUsed w:val="1"/>
    <w:rsid w:val="003E7D4F"/>
    <w:pPr>
      <w:tabs>
        <w:tab w:val="center" w:pos="4252"/>
        <w:tab w:val="right" w:pos="8504"/>
      </w:tabs>
    </w:pPr>
  </w:style>
  <w:style w:type="character" w:styleId="EncabezadoCar" w:customStyle="1">
    <w:name w:val="Encabezado Car"/>
    <w:basedOn w:val="Fuentedeprrafopredeter"/>
    <w:link w:val="Encabezado"/>
    <w:uiPriority w:val="99"/>
    <w:rsid w:val="003E7D4F"/>
  </w:style>
  <w:style w:type="paragraph" w:styleId="Piedepgina">
    <w:name w:val="footer"/>
    <w:basedOn w:val="Normal"/>
    <w:link w:val="PiedepginaCar"/>
    <w:uiPriority w:val="99"/>
    <w:unhideWhenUsed w:val="1"/>
    <w:rsid w:val="003E7D4F"/>
    <w:pPr>
      <w:tabs>
        <w:tab w:val="center" w:pos="4252"/>
        <w:tab w:val="right" w:pos="8504"/>
      </w:tabs>
    </w:pPr>
  </w:style>
  <w:style w:type="character" w:styleId="PiedepginaCar" w:customStyle="1">
    <w:name w:val="Pie de página Car"/>
    <w:basedOn w:val="Fuentedeprrafopredeter"/>
    <w:link w:val="Piedepgina"/>
    <w:uiPriority w:val="99"/>
    <w:rsid w:val="003E7D4F"/>
  </w:style>
  <w:style w:type="paragraph" w:styleId="NormalWeb">
    <w:name w:val="Normal (Web)"/>
    <w:basedOn w:val="Normal"/>
    <w:uiPriority w:val="99"/>
    <w:unhideWhenUsed w:val="1"/>
    <w:rsid w:val="001863FF"/>
    <w:pPr>
      <w:spacing w:after="100" w:afterAutospacing="1" w:before="100" w:beforeAutospacing="1"/>
    </w:pPr>
    <w:rPr>
      <w:rFonts w:ascii="Calibri" w:cs="Calibri" w:hAnsi="Calibri" w:eastAsiaTheme="minorHAnsi"/>
      <w:sz w:val="22"/>
      <w:szCs w:val="22"/>
      <w:lang w:val="en-GB"/>
    </w:rPr>
  </w:style>
  <w:style w:type="character" w:styleId="Fuerte">
    <w:name w:val="Strong"/>
    <w:basedOn w:val="Fuentedeprrafopredeter"/>
    <w:uiPriority w:val="22"/>
    <w:qFormat w:val="1"/>
    <w:rsid w:val="009368A3"/>
    <w:rPr>
      <w:b w:val="1"/>
      <w:bCs w:val="1"/>
    </w:rPr>
  </w:style>
  <w:style w:type="character" w:styleId="Mencinsinresolver">
    <w:name w:val="Unresolved Mention"/>
    <w:basedOn w:val="Fuentedeprrafopredeter"/>
    <w:uiPriority w:val="99"/>
    <w:semiHidden w:val="1"/>
    <w:unhideWhenUsed w:val="1"/>
    <w:rsid w:val="005647D6"/>
    <w:rPr>
      <w:color w:val="605e5c"/>
      <w:shd w:color="auto" w:fill="e1dfdd" w:val="clear"/>
    </w:rPr>
  </w:style>
  <w:style w:type="paragraph" w:styleId="Textocomentario">
    <w:name w:val="annotation text"/>
    <w:basedOn w:val="Normal"/>
    <w:link w:val="TextocomentarioCar"/>
    <w:uiPriority w:val="99"/>
    <w:semiHidden w:val="1"/>
    <w:unhideWhenUsed w:val="1"/>
    <w:rsid w:val="005647D6"/>
    <w:pPr>
      <w:spacing w:after="160"/>
    </w:pPr>
    <w:rPr>
      <w:rFonts w:asciiTheme="minorHAnsi" w:cstheme="minorBidi" w:eastAsiaTheme="minorEastAsia" w:hAnsiTheme="minorHAnsi"/>
      <w:sz w:val="20"/>
      <w:szCs w:val="20"/>
      <w:lang w:eastAsia="zh-CN" w:val="en-GB"/>
    </w:rPr>
  </w:style>
  <w:style w:type="character" w:styleId="TextocomentarioCar" w:customStyle="1">
    <w:name w:val="Texto comentario Car"/>
    <w:basedOn w:val="Fuentedeprrafopredeter"/>
    <w:link w:val="Textocomentario"/>
    <w:uiPriority w:val="99"/>
    <w:semiHidden w:val="1"/>
    <w:rsid w:val="005647D6"/>
    <w:rPr>
      <w:rFonts w:asciiTheme="minorHAnsi" w:cstheme="minorBidi" w:eastAsiaTheme="minorEastAsia" w:hAnsiTheme="minorHAnsi"/>
      <w:sz w:val="20"/>
      <w:szCs w:val="20"/>
      <w:lang w:eastAsia="zh-CN" w:val="en-GB"/>
    </w:rPr>
  </w:style>
  <w:style w:type="character" w:styleId="PrrafodelistaCar" w:customStyle="1">
    <w:name w:val="Párrafo de lista Car"/>
    <w:aliases w:val="numbered Car,Paragraphe de liste1 Car,Bullet List Car,FooterText Car"/>
    <w:basedOn w:val="Fuentedeprrafopredeter"/>
    <w:link w:val="Prrafodelista"/>
    <w:uiPriority w:val="34"/>
    <w:locked w:val="1"/>
    <w:rsid w:val="005647D6"/>
  </w:style>
  <w:style w:type="character" w:styleId="wordsection1Char" w:customStyle="1">
    <w:name w:val="wordsection1 Char"/>
    <w:basedOn w:val="Fuentedeprrafopredeter"/>
    <w:link w:val="wordsection1"/>
    <w:uiPriority w:val="99"/>
    <w:locked w:val="1"/>
    <w:rsid w:val="005647D6"/>
    <w:rPr>
      <w:rFonts w:ascii="Calibri" w:cs="Calibri" w:hAnsi="Calibri"/>
    </w:rPr>
  </w:style>
  <w:style w:type="paragraph" w:styleId="wordsection1" w:customStyle="1">
    <w:name w:val="wordsection1"/>
    <w:basedOn w:val="Normal"/>
    <w:link w:val="wordsection1Char"/>
    <w:uiPriority w:val="99"/>
    <w:rsid w:val="005647D6"/>
    <w:rPr>
      <w:rFonts w:ascii="Calibri" w:cs="Calibri" w:hAnsi="Calibri"/>
    </w:rPr>
  </w:style>
  <w:style w:type="character" w:styleId="Refdecomentario">
    <w:name w:val="annotation reference"/>
    <w:basedOn w:val="Fuentedeprrafopredeter"/>
    <w:uiPriority w:val="99"/>
    <w:semiHidden w:val="1"/>
    <w:unhideWhenUsed w:val="1"/>
    <w:rsid w:val="005647D6"/>
    <w:rPr>
      <w:sz w:val="16"/>
      <w:szCs w:val="16"/>
    </w:rPr>
  </w:style>
  <w:style w:type="character" w:styleId="normaltextrun" w:customStyle="1">
    <w:name w:val="normaltextrun"/>
    <w:basedOn w:val="Fuentedeprrafopredeter"/>
    <w:rsid w:val="005647D6"/>
  </w:style>
  <w:style w:type="table" w:styleId="a0" w:customStyle="1">
    <w:basedOn w:val="TableNormal0"/>
    <w:tblPr>
      <w:tblStyleRowBandSize w:val="1"/>
      <w:tblStyleColBandSize w:val="1"/>
    </w:tblPr>
  </w:style>
  <w:style w:type="character" w:styleId="nfasis">
    <w:name w:val="Emphasis"/>
    <w:basedOn w:val="Fuentedeprrafopredeter"/>
    <w:uiPriority w:val="20"/>
    <w:qFormat w:val="1"/>
    <w:rsid w:val="000D6301"/>
    <w:rPr>
      <w:i w:val="1"/>
      <w:iCs w:val="1"/>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ksW7xRIHANSEAndaFlZWgPM6WQ==">CgMxLjA4AHIhMXNwRnp1ZFNhX3E5eWtYQVJCMXRpSHl4VllkaHJmbGls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2026-09-17T05:54:00Z</dcterms:created>
  <dc:creator>Usuario</dc:creator>
</cp:coreProperties>
</file>