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5B35" w14:textId="77777777" w:rsidR="00D02FE4"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Contacto:</w:t>
      </w:r>
    </w:p>
    <w:p w14:paraId="069ECEA2" w14:textId="77777777" w:rsidR="00D02FE4"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EMIRATES </w:t>
      </w:r>
    </w:p>
    <w:p w14:paraId="1569D02E" w14:textId="77777777" w:rsidR="00D02FE4"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proofErr w:type="spellStart"/>
      <w:r>
        <w:rPr>
          <w:rFonts w:ascii="Century Gothic" w:eastAsia="Century Gothic" w:hAnsi="Century Gothic" w:cs="Century Gothic"/>
          <w:color w:val="000000"/>
          <w:sz w:val="18"/>
          <w:szCs w:val="18"/>
        </w:rPr>
        <w:t>Sergat</w:t>
      </w:r>
      <w:proofErr w:type="spellEnd"/>
      <w:r>
        <w:rPr>
          <w:rFonts w:ascii="Century Gothic" w:eastAsia="Century Gothic" w:hAnsi="Century Gothic" w:cs="Century Gothic"/>
          <w:color w:val="000000"/>
          <w:sz w:val="18"/>
          <w:szCs w:val="18"/>
        </w:rPr>
        <w:t xml:space="preserve"> </w:t>
      </w:r>
    </w:p>
    <w:p w14:paraId="17643873" w14:textId="77777777" w:rsidR="00D02FE4" w:rsidRDefault="00000000">
      <w:pPr>
        <w:pBdr>
          <w:top w:val="nil"/>
          <w:left w:val="nil"/>
          <w:bottom w:val="nil"/>
          <w:right w:val="nil"/>
          <w:between w:val="nil"/>
        </w:pBdr>
        <w:spacing w:line="360" w:lineRule="auto"/>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Teléfono: 93 414 02 10</w:t>
      </w:r>
    </w:p>
    <w:p w14:paraId="7AD64F0B" w14:textId="77777777" w:rsidR="00D02FE4" w:rsidRDefault="00000000">
      <w:pPr>
        <w:pBdr>
          <w:top w:val="nil"/>
          <w:left w:val="nil"/>
          <w:bottom w:val="nil"/>
          <w:right w:val="nil"/>
          <w:between w:val="nil"/>
        </w:pBdr>
        <w:spacing w:line="360" w:lineRule="auto"/>
        <w:jc w:val="both"/>
        <w:rPr>
          <w:rFonts w:ascii="Cambria" w:eastAsia="Cambria" w:hAnsi="Cambria" w:cs="Cambria"/>
          <w:color w:val="000000"/>
        </w:rPr>
      </w:pPr>
      <w:r>
        <w:rPr>
          <w:rFonts w:ascii="Century Gothic" w:eastAsia="Century Gothic" w:hAnsi="Century Gothic" w:cs="Century Gothic"/>
          <w:color w:val="000000"/>
          <w:sz w:val="18"/>
          <w:szCs w:val="18"/>
        </w:rPr>
        <w:t xml:space="preserve">Correo electrónico: </w:t>
      </w:r>
      <w:r>
        <w:rPr>
          <w:rFonts w:ascii="Century Gothic" w:eastAsia="Century Gothic" w:hAnsi="Century Gothic" w:cs="Century Gothic"/>
          <w:color w:val="0000FF"/>
          <w:sz w:val="18"/>
          <w:szCs w:val="18"/>
        </w:rPr>
        <w:t xml:space="preserve">prensa@sergat.com   </w:t>
      </w:r>
    </w:p>
    <w:tbl>
      <w:tblPr>
        <w:tblStyle w:val="a1"/>
        <w:tblW w:w="5775" w:type="dxa"/>
        <w:jc w:val="center"/>
        <w:tblInd w:w="0" w:type="dxa"/>
        <w:tblLayout w:type="fixed"/>
        <w:tblLook w:val="0400" w:firstRow="0" w:lastRow="0" w:firstColumn="0" w:lastColumn="0" w:noHBand="0" w:noVBand="1"/>
      </w:tblPr>
      <w:tblGrid>
        <w:gridCol w:w="5775"/>
      </w:tblGrid>
      <w:tr w:rsidR="00D02FE4" w14:paraId="35C7808A" w14:textId="77777777">
        <w:trPr>
          <w:jc w:val="center"/>
        </w:trPr>
        <w:tc>
          <w:tcPr>
            <w:tcW w:w="5775" w:type="dxa"/>
            <w:vAlign w:val="center"/>
          </w:tcPr>
          <w:p w14:paraId="0AA34CD7" w14:textId="77777777" w:rsidR="00D02FE4" w:rsidRDefault="00D02FE4">
            <w:pPr>
              <w:jc w:val="center"/>
              <w:rPr>
                <w:sz w:val="20"/>
                <w:szCs w:val="20"/>
              </w:rPr>
            </w:pPr>
          </w:p>
        </w:tc>
      </w:tr>
    </w:tbl>
    <w:p w14:paraId="653E1F1F" w14:textId="6EC2F222" w:rsidR="00F476E3" w:rsidRDefault="00F476E3">
      <w:pPr>
        <w:pBdr>
          <w:top w:val="nil"/>
          <w:left w:val="nil"/>
          <w:bottom w:val="nil"/>
          <w:right w:val="nil"/>
          <w:between w:val="nil"/>
        </w:pBdr>
        <w:spacing w:before="280" w:line="360" w:lineRule="auto"/>
        <w:jc w:val="center"/>
        <w:rPr>
          <w:rFonts w:ascii="Century Gothic" w:eastAsia="Century Gothic" w:hAnsi="Century Gothic" w:cs="Century Gothic"/>
          <w:b/>
          <w:bCs/>
        </w:rPr>
      </w:pPr>
      <w:proofErr w:type="spellStart"/>
      <w:r w:rsidRPr="00F476E3">
        <w:rPr>
          <w:rFonts w:ascii="Century Gothic" w:eastAsia="Century Gothic" w:hAnsi="Century Gothic" w:cs="Century Gothic"/>
          <w:b/>
          <w:bCs/>
        </w:rPr>
        <w:t>Emirates</w:t>
      </w:r>
      <w:proofErr w:type="spellEnd"/>
      <w:r w:rsidRPr="00F476E3">
        <w:rPr>
          <w:rFonts w:ascii="Century Gothic" w:eastAsia="Century Gothic" w:hAnsi="Century Gothic" w:cs="Century Gothic"/>
          <w:b/>
          <w:bCs/>
        </w:rPr>
        <w:t xml:space="preserve"> </w:t>
      </w:r>
      <w:proofErr w:type="spellStart"/>
      <w:r w:rsidRPr="00F476E3">
        <w:rPr>
          <w:rFonts w:ascii="Century Gothic" w:eastAsia="Century Gothic" w:hAnsi="Century Gothic" w:cs="Century Gothic"/>
          <w:b/>
          <w:bCs/>
        </w:rPr>
        <w:t>Holidays</w:t>
      </w:r>
      <w:proofErr w:type="spellEnd"/>
      <w:r w:rsidRPr="00F476E3">
        <w:rPr>
          <w:rFonts w:ascii="Century Gothic" w:eastAsia="Century Gothic" w:hAnsi="Century Gothic" w:cs="Century Gothic"/>
          <w:b/>
          <w:bCs/>
        </w:rPr>
        <w:t xml:space="preserve"> firma una asociación estratégica con la Oficina de Turismo de España</w:t>
      </w:r>
    </w:p>
    <w:p w14:paraId="3B80E5D5" w14:textId="77777777" w:rsidR="00B04527" w:rsidRPr="00B04527" w:rsidRDefault="00F476E3" w:rsidP="00B04527">
      <w:pPr>
        <w:pBdr>
          <w:top w:val="nil"/>
          <w:left w:val="nil"/>
          <w:bottom w:val="nil"/>
          <w:right w:val="nil"/>
          <w:between w:val="nil"/>
        </w:pBdr>
        <w:spacing w:before="280" w:line="360" w:lineRule="auto"/>
        <w:jc w:val="center"/>
        <w:rPr>
          <w:rFonts w:ascii="Century Gothic" w:eastAsia="Century Gothic" w:hAnsi="Century Gothic" w:cs="Century Gothic"/>
          <w:i/>
          <w:iCs/>
          <w:sz w:val="22"/>
          <w:szCs w:val="22"/>
        </w:rPr>
      </w:pPr>
      <w:r w:rsidRPr="00B04527">
        <w:rPr>
          <w:rFonts w:ascii="Century Gothic" w:eastAsia="Century Gothic" w:hAnsi="Century Gothic" w:cs="Century Gothic"/>
          <w:i/>
          <w:iCs/>
          <w:sz w:val="22"/>
          <w:szCs w:val="22"/>
        </w:rPr>
        <w:t>La asociación explorará oportunidades para promocionar España a través de campañas conjuntas, paquetes vacacionales exclusivos y una mayor colaboración comercial</w:t>
      </w:r>
    </w:p>
    <w:p w14:paraId="3A6CABA6" w14:textId="27712ABA" w:rsidR="00F476E3" w:rsidRPr="00B04527" w:rsidRDefault="00F476E3" w:rsidP="00B04527">
      <w:pPr>
        <w:pBdr>
          <w:top w:val="nil"/>
          <w:left w:val="nil"/>
          <w:bottom w:val="nil"/>
          <w:right w:val="nil"/>
          <w:between w:val="nil"/>
        </w:pBdr>
        <w:spacing w:before="280" w:line="360" w:lineRule="auto"/>
        <w:jc w:val="center"/>
        <w:rPr>
          <w:rFonts w:ascii="Century Gothic" w:eastAsia="Century Gothic" w:hAnsi="Century Gothic" w:cs="Century Gothic"/>
          <w:i/>
          <w:iCs/>
          <w:sz w:val="22"/>
          <w:szCs w:val="22"/>
        </w:rPr>
      </w:pPr>
      <w:r w:rsidRPr="00B04527">
        <w:rPr>
          <w:rFonts w:ascii="Century Gothic" w:eastAsia="Century Gothic" w:hAnsi="Century Gothic" w:cs="Century Gothic"/>
          <w:i/>
          <w:iCs/>
          <w:sz w:val="22"/>
          <w:szCs w:val="22"/>
        </w:rPr>
        <w:t xml:space="preserve">La asociación refuerza el compromiso de </w:t>
      </w:r>
      <w:proofErr w:type="spellStart"/>
      <w:r w:rsidRPr="00B04527">
        <w:rPr>
          <w:rFonts w:ascii="Century Gothic" w:eastAsia="Century Gothic" w:hAnsi="Century Gothic" w:cs="Century Gothic"/>
          <w:i/>
          <w:iCs/>
          <w:sz w:val="22"/>
          <w:szCs w:val="22"/>
        </w:rPr>
        <w:t>Emirates</w:t>
      </w:r>
      <w:proofErr w:type="spellEnd"/>
      <w:r w:rsidRPr="00B04527">
        <w:rPr>
          <w:rFonts w:ascii="Century Gothic" w:eastAsia="Century Gothic" w:hAnsi="Century Gothic" w:cs="Century Gothic"/>
          <w:i/>
          <w:iCs/>
          <w:sz w:val="22"/>
          <w:szCs w:val="22"/>
        </w:rPr>
        <w:t xml:space="preserve"> </w:t>
      </w:r>
      <w:proofErr w:type="spellStart"/>
      <w:r w:rsidRPr="00B04527">
        <w:rPr>
          <w:rFonts w:ascii="Century Gothic" w:eastAsia="Century Gothic" w:hAnsi="Century Gothic" w:cs="Century Gothic"/>
          <w:i/>
          <w:iCs/>
          <w:sz w:val="22"/>
          <w:szCs w:val="22"/>
        </w:rPr>
        <w:t>Holidays</w:t>
      </w:r>
      <w:proofErr w:type="spellEnd"/>
      <w:r w:rsidRPr="00B04527">
        <w:rPr>
          <w:rFonts w:ascii="Century Gothic" w:eastAsia="Century Gothic" w:hAnsi="Century Gothic" w:cs="Century Gothic"/>
          <w:i/>
          <w:iCs/>
          <w:sz w:val="22"/>
          <w:szCs w:val="22"/>
        </w:rPr>
        <w:t xml:space="preserve"> de crear experiencias de viaje premium en uno de los destinos más codiciados de Europa </w:t>
      </w:r>
    </w:p>
    <w:p w14:paraId="444C748A" w14:textId="01B14F0E" w:rsidR="00F476E3" w:rsidRPr="00F476E3" w:rsidRDefault="00000000"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Dubái,</w:t>
      </w:r>
      <w:r>
        <w:t xml:space="preserve"> </w:t>
      </w:r>
      <w:r>
        <w:rPr>
          <w:rFonts w:ascii="Century Gothic" w:eastAsia="Century Gothic" w:hAnsi="Century Gothic" w:cs="Century Gothic"/>
          <w:b/>
          <w:bCs/>
          <w:sz w:val="22"/>
          <w:szCs w:val="22"/>
        </w:rPr>
        <w:t>EAU, 1</w:t>
      </w:r>
      <w:r w:rsidR="00F476E3">
        <w:rPr>
          <w:rFonts w:ascii="Century Gothic" w:eastAsia="Century Gothic" w:hAnsi="Century Gothic" w:cs="Century Gothic"/>
          <w:b/>
          <w:bCs/>
          <w:sz w:val="22"/>
          <w:szCs w:val="22"/>
        </w:rPr>
        <w:t>7</w:t>
      </w:r>
      <w:r>
        <w:rPr>
          <w:rFonts w:ascii="Century Gothic" w:eastAsia="Century Gothic" w:hAnsi="Century Gothic" w:cs="Century Gothic"/>
          <w:b/>
          <w:bCs/>
          <w:sz w:val="22"/>
          <w:szCs w:val="22"/>
        </w:rPr>
        <w:t xml:space="preserve"> de septiembre de 2026: </w:t>
      </w:r>
      <w:proofErr w:type="spellStart"/>
      <w:r w:rsidR="00F476E3" w:rsidRPr="00F476E3">
        <w:rPr>
          <w:rFonts w:ascii="Century Gothic" w:eastAsia="Century Gothic" w:hAnsi="Century Gothic" w:cs="Century Gothic"/>
          <w:sz w:val="22"/>
          <w:szCs w:val="22"/>
        </w:rPr>
        <w:t>Emirates</w:t>
      </w:r>
      <w:proofErr w:type="spellEnd"/>
      <w:r w:rsidR="00F476E3" w:rsidRPr="00F476E3">
        <w:rPr>
          <w:rFonts w:ascii="Century Gothic" w:eastAsia="Century Gothic" w:hAnsi="Century Gothic" w:cs="Century Gothic"/>
          <w:sz w:val="22"/>
          <w:szCs w:val="22"/>
        </w:rPr>
        <w:t xml:space="preserve"> </w:t>
      </w:r>
      <w:proofErr w:type="spellStart"/>
      <w:r w:rsidR="00F476E3" w:rsidRPr="00F476E3">
        <w:rPr>
          <w:rFonts w:ascii="Century Gothic" w:eastAsia="Century Gothic" w:hAnsi="Century Gothic" w:cs="Century Gothic"/>
          <w:sz w:val="22"/>
          <w:szCs w:val="22"/>
        </w:rPr>
        <w:t>Holidays</w:t>
      </w:r>
      <w:proofErr w:type="spellEnd"/>
      <w:r w:rsidR="00F476E3" w:rsidRPr="00F476E3">
        <w:rPr>
          <w:rFonts w:ascii="Century Gothic" w:eastAsia="Century Gothic" w:hAnsi="Century Gothic" w:cs="Century Gothic"/>
          <w:sz w:val="22"/>
          <w:szCs w:val="22"/>
        </w:rPr>
        <w:t xml:space="preserve">, la división de operador turístico de </w:t>
      </w:r>
      <w:proofErr w:type="spellStart"/>
      <w:r w:rsidR="00F476E3" w:rsidRPr="00F476E3">
        <w:rPr>
          <w:rFonts w:ascii="Century Gothic" w:eastAsia="Century Gothic" w:hAnsi="Century Gothic" w:cs="Century Gothic"/>
          <w:sz w:val="22"/>
          <w:szCs w:val="22"/>
        </w:rPr>
        <w:t>Emirates</w:t>
      </w:r>
      <w:proofErr w:type="spellEnd"/>
      <w:r w:rsidR="00F476E3" w:rsidRPr="00F476E3">
        <w:rPr>
          <w:rFonts w:ascii="Century Gothic" w:eastAsia="Century Gothic" w:hAnsi="Century Gothic" w:cs="Century Gothic"/>
          <w:sz w:val="22"/>
          <w:szCs w:val="22"/>
        </w:rPr>
        <w:t xml:space="preserve"> </w:t>
      </w:r>
      <w:proofErr w:type="spellStart"/>
      <w:r w:rsidR="00F476E3" w:rsidRPr="00F476E3">
        <w:rPr>
          <w:rFonts w:ascii="Century Gothic" w:eastAsia="Century Gothic" w:hAnsi="Century Gothic" w:cs="Century Gothic"/>
          <w:sz w:val="22"/>
          <w:szCs w:val="22"/>
        </w:rPr>
        <w:t>Airline</w:t>
      </w:r>
      <w:proofErr w:type="spellEnd"/>
      <w:r w:rsidR="00F476E3" w:rsidRPr="00F476E3">
        <w:rPr>
          <w:rFonts w:ascii="Century Gothic" w:eastAsia="Century Gothic" w:hAnsi="Century Gothic" w:cs="Century Gothic"/>
          <w:sz w:val="22"/>
          <w:szCs w:val="22"/>
        </w:rPr>
        <w:t>, y la Oficina de Turismo de España han firmado un Memorando de Entendimiento (</w:t>
      </w:r>
      <w:proofErr w:type="spellStart"/>
      <w:r w:rsidR="00F476E3" w:rsidRPr="00F476E3">
        <w:rPr>
          <w:rFonts w:ascii="Century Gothic" w:eastAsia="Century Gothic" w:hAnsi="Century Gothic" w:cs="Century Gothic"/>
          <w:sz w:val="22"/>
          <w:szCs w:val="22"/>
        </w:rPr>
        <w:t>MoU</w:t>
      </w:r>
      <w:proofErr w:type="spellEnd"/>
      <w:r w:rsidR="00F476E3" w:rsidRPr="00F476E3">
        <w:rPr>
          <w:rFonts w:ascii="Century Gothic" w:eastAsia="Century Gothic" w:hAnsi="Century Gothic" w:cs="Century Gothic"/>
          <w:sz w:val="22"/>
          <w:szCs w:val="22"/>
        </w:rPr>
        <w:t xml:space="preserve">) para impulsar el turismo receptivo hacia España. Firmado en </w:t>
      </w:r>
      <w:r w:rsidR="00F476E3">
        <w:rPr>
          <w:rFonts w:ascii="Century Gothic" w:eastAsia="Century Gothic" w:hAnsi="Century Gothic" w:cs="Century Gothic"/>
          <w:sz w:val="22"/>
          <w:szCs w:val="22"/>
        </w:rPr>
        <w:t xml:space="preserve">la </w:t>
      </w:r>
      <w:proofErr w:type="spellStart"/>
      <w:r w:rsidR="00F476E3" w:rsidRPr="00F476E3">
        <w:rPr>
          <w:rFonts w:ascii="Century Gothic" w:eastAsia="Century Gothic" w:hAnsi="Century Gothic" w:cs="Century Gothic"/>
          <w:sz w:val="22"/>
          <w:szCs w:val="22"/>
        </w:rPr>
        <w:t>Arabian</w:t>
      </w:r>
      <w:proofErr w:type="spellEnd"/>
      <w:r w:rsidR="00F476E3" w:rsidRPr="00F476E3">
        <w:rPr>
          <w:rFonts w:ascii="Century Gothic" w:eastAsia="Century Gothic" w:hAnsi="Century Gothic" w:cs="Century Gothic"/>
          <w:sz w:val="22"/>
          <w:szCs w:val="22"/>
        </w:rPr>
        <w:t xml:space="preserve"> </w:t>
      </w:r>
      <w:proofErr w:type="spellStart"/>
      <w:r w:rsidR="00F476E3" w:rsidRPr="00F476E3">
        <w:rPr>
          <w:rFonts w:ascii="Century Gothic" w:eastAsia="Century Gothic" w:hAnsi="Century Gothic" w:cs="Century Gothic"/>
          <w:sz w:val="22"/>
          <w:szCs w:val="22"/>
        </w:rPr>
        <w:t>Travel</w:t>
      </w:r>
      <w:proofErr w:type="spellEnd"/>
      <w:r w:rsidR="00F476E3" w:rsidRPr="00F476E3">
        <w:rPr>
          <w:rFonts w:ascii="Century Gothic" w:eastAsia="Century Gothic" w:hAnsi="Century Gothic" w:cs="Century Gothic"/>
          <w:sz w:val="22"/>
          <w:szCs w:val="22"/>
        </w:rPr>
        <w:t xml:space="preserve"> </w:t>
      </w:r>
      <w:proofErr w:type="spellStart"/>
      <w:r w:rsidR="00F476E3" w:rsidRPr="00F476E3">
        <w:rPr>
          <w:rFonts w:ascii="Century Gothic" w:eastAsia="Century Gothic" w:hAnsi="Century Gothic" w:cs="Century Gothic"/>
          <w:sz w:val="22"/>
          <w:szCs w:val="22"/>
        </w:rPr>
        <w:t>Market</w:t>
      </w:r>
      <w:proofErr w:type="spellEnd"/>
      <w:r w:rsidR="00F476E3" w:rsidRPr="00F476E3">
        <w:rPr>
          <w:rFonts w:ascii="Century Gothic" w:eastAsia="Century Gothic" w:hAnsi="Century Gothic" w:cs="Century Gothic"/>
          <w:sz w:val="22"/>
          <w:szCs w:val="22"/>
        </w:rPr>
        <w:t xml:space="preserve"> 2026, el acuerdo tiene como objetivo inspirar a más viajeros de la extensa red de </w:t>
      </w:r>
      <w:proofErr w:type="spellStart"/>
      <w:r w:rsidR="00F476E3" w:rsidRPr="00F476E3">
        <w:rPr>
          <w:rFonts w:ascii="Century Gothic" w:eastAsia="Century Gothic" w:hAnsi="Century Gothic" w:cs="Century Gothic"/>
          <w:sz w:val="22"/>
          <w:szCs w:val="22"/>
        </w:rPr>
        <w:t>Emirates</w:t>
      </w:r>
      <w:proofErr w:type="spellEnd"/>
      <w:r w:rsidR="00F476E3" w:rsidRPr="00F476E3">
        <w:rPr>
          <w:rFonts w:ascii="Century Gothic" w:eastAsia="Century Gothic" w:hAnsi="Century Gothic" w:cs="Century Gothic"/>
          <w:sz w:val="22"/>
          <w:szCs w:val="22"/>
        </w:rPr>
        <w:t xml:space="preserve"> en Oriente Medio a descubrir la rica cultura, los diversos paisajes y la hospitalidad de clase mundial de España, a través de los paquetes diseñados por </w:t>
      </w:r>
      <w:proofErr w:type="spellStart"/>
      <w:r w:rsidR="00F476E3" w:rsidRPr="00F476E3">
        <w:rPr>
          <w:rFonts w:ascii="Century Gothic" w:eastAsia="Century Gothic" w:hAnsi="Century Gothic" w:cs="Century Gothic"/>
          <w:sz w:val="22"/>
          <w:szCs w:val="22"/>
        </w:rPr>
        <w:t>Emirates</w:t>
      </w:r>
      <w:proofErr w:type="spellEnd"/>
      <w:r w:rsidR="00F476E3" w:rsidRPr="00F476E3">
        <w:rPr>
          <w:rFonts w:ascii="Century Gothic" w:eastAsia="Century Gothic" w:hAnsi="Century Gothic" w:cs="Century Gothic"/>
          <w:sz w:val="22"/>
          <w:szCs w:val="22"/>
        </w:rPr>
        <w:t xml:space="preserve"> </w:t>
      </w:r>
      <w:proofErr w:type="spellStart"/>
      <w:r w:rsidR="00F476E3" w:rsidRPr="00F476E3">
        <w:rPr>
          <w:rFonts w:ascii="Century Gothic" w:eastAsia="Century Gothic" w:hAnsi="Century Gothic" w:cs="Century Gothic"/>
          <w:sz w:val="22"/>
          <w:szCs w:val="22"/>
        </w:rPr>
        <w:t>Holidays</w:t>
      </w:r>
      <w:proofErr w:type="spellEnd"/>
      <w:r w:rsidR="00F476E3" w:rsidRPr="00F476E3">
        <w:rPr>
          <w:rFonts w:ascii="Century Gothic" w:eastAsia="Century Gothic" w:hAnsi="Century Gothic" w:cs="Century Gothic"/>
          <w:sz w:val="22"/>
          <w:szCs w:val="22"/>
        </w:rPr>
        <w:t>.</w:t>
      </w:r>
    </w:p>
    <w:p w14:paraId="441FB976" w14:textId="77777777"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sidRPr="00F476E3">
        <w:rPr>
          <w:rFonts w:ascii="Century Gothic" w:eastAsia="Century Gothic" w:hAnsi="Century Gothic" w:cs="Century Gothic"/>
          <w:sz w:val="22"/>
          <w:szCs w:val="22"/>
        </w:rPr>
        <w:t xml:space="preserve">El acuerdo fue firmado por Leif </w:t>
      </w:r>
      <w:proofErr w:type="spellStart"/>
      <w:r w:rsidRPr="00F476E3">
        <w:rPr>
          <w:rFonts w:ascii="Century Gothic" w:eastAsia="Century Gothic" w:hAnsi="Century Gothic" w:cs="Century Gothic"/>
          <w:sz w:val="22"/>
          <w:szCs w:val="22"/>
        </w:rPr>
        <w:t>Vase</w:t>
      </w:r>
      <w:proofErr w:type="spellEnd"/>
      <w:r w:rsidRPr="00F476E3">
        <w:rPr>
          <w:rFonts w:ascii="Century Gothic" w:eastAsia="Century Gothic" w:hAnsi="Century Gothic" w:cs="Century Gothic"/>
          <w:sz w:val="22"/>
          <w:szCs w:val="22"/>
        </w:rPr>
        <w:t xml:space="preserve"> Larsen, vicepresidente sénior divisional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y Carlos Ruiz González, director de la Oficina de Turismo de España para la región del Golfo, en presencia de otros altos representantes.</w:t>
      </w:r>
    </w:p>
    <w:p w14:paraId="101AA9DA" w14:textId="066DB2CF"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sidRPr="00F476E3">
        <w:rPr>
          <w:rFonts w:ascii="Century Gothic" w:eastAsia="Century Gothic" w:hAnsi="Century Gothic" w:cs="Century Gothic"/>
          <w:sz w:val="22"/>
          <w:szCs w:val="22"/>
        </w:rPr>
        <w:t xml:space="preserve">Leif </w:t>
      </w:r>
      <w:proofErr w:type="spellStart"/>
      <w:r w:rsidRPr="00F476E3">
        <w:rPr>
          <w:rFonts w:ascii="Century Gothic" w:eastAsia="Century Gothic" w:hAnsi="Century Gothic" w:cs="Century Gothic"/>
          <w:sz w:val="22"/>
          <w:szCs w:val="22"/>
        </w:rPr>
        <w:t>Vase</w:t>
      </w:r>
      <w:proofErr w:type="spellEnd"/>
      <w:r w:rsidRPr="00F476E3">
        <w:rPr>
          <w:rFonts w:ascii="Century Gothic" w:eastAsia="Century Gothic" w:hAnsi="Century Gothic" w:cs="Century Gothic"/>
          <w:sz w:val="22"/>
          <w:szCs w:val="22"/>
        </w:rPr>
        <w:t xml:space="preserve"> Larsen declaró, «España sigue siendo uno de los destinos vacacionales más atractivos de Europa, con una combinación excepcional de cultura, gastronomía, compras, playas y escapadas urbanas que atrae tanto a familias como a parejas y </w:t>
      </w:r>
      <w:r w:rsidRPr="00F476E3">
        <w:rPr>
          <w:rFonts w:ascii="Century Gothic" w:eastAsia="Century Gothic" w:hAnsi="Century Gothic" w:cs="Century Gothic"/>
          <w:i/>
          <w:iCs/>
          <w:sz w:val="22"/>
          <w:szCs w:val="22"/>
        </w:rPr>
        <w:t xml:space="preserve">solo </w:t>
      </w:r>
      <w:proofErr w:type="spellStart"/>
      <w:r w:rsidRPr="00F476E3">
        <w:rPr>
          <w:rFonts w:ascii="Century Gothic" w:eastAsia="Century Gothic" w:hAnsi="Century Gothic" w:cs="Century Gothic"/>
          <w:i/>
          <w:iCs/>
          <w:sz w:val="22"/>
          <w:szCs w:val="22"/>
        </w:rPr>
        <w:t>travelers</w:t>
      </w:r>
      <w:proofErr w:type="spellEnd"/>
      <w:r w:rsidRPr="00F476E3">
        <w:rPr>
          <w:rFonts w:ascii="Century Gothic" w:eastAsia="Century Gothic" w:hAnsi="Century Gothic" w:cs="Century Gothic"/>
          <w:i/>
          <w:iCs/>
          <w:sz w:val="22"/>
          <w:szCs w:val="22"/>
        </w:rPr>
        <w:t>.</w:t>
      </w:r>
      <w:r w:rsidRPr="00F476E3">
        <w:rPr>
          <w:rFonts w:ascii="Century Gothic" w:eastAsia="Century Gothic" w:hAnsi="Century Gothic" w:cs="Century Gothic"/>
          <w:sz w:val="22"/>
          <w:szCs w:val="22"/>
        </w:rPr>
        <w:t xml:space="preserve"> Gracias a esta asociación con la Oficina de Turismo de España, nos complace mostrar aún más todo lo que ofrece el destino a través de experiencias vacacionales </w:t>
      </w:r>
      <w:r w:rsidRPr="00F476E3">
        <w:rPr>
          <w:rFonts w:ascii="Century Gothic" w:eastAsia="Century Gothic" w:hAnsi="Century Gothic" w:cs="Century Gothic"/>
          <w:sz w:val="22"/>
          <w:szCs w:val="22"/>
        </w:rPr>
        <w:lastRenderedPageBreak/>
        <w:t>cuidadosamente diseñadas, beneficios exclusivos para los clientes y campañas específicas que facilitan más que nunca la planificación de unas vacaciones en España.»</w:t>
      </w:r>
    </w:p>
    <w:p w14:paraId="69F2DCB2" w14:textId="77777777"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sidRPr="00F476E3">
        <w:rPr>
          <w:rFonts w:ascii="Century Gothic" w:eastAsia="Century Gothic" w:hAnsi="Century Gothic" w:cs="Century Gothic"/>
          <w:sz w:val="22"/>
          <w:szCs w:val="22"/>
        </w:rPr>
        <w:t xml:space="preserve">Carlos Ruiz González declaró: «Esta asociación con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supone un paso importante para reforzar la promoción de España en el CCG y para acercar aún más nuestros dos mercados. La amplia red y la sólida presencia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en la región nos ofrecen una plataforma excelente para mostrar la diversa oferta turística de España, desde nuestra reconocida cultura y gastronomía hasta nuestras ciudades, costas, naturaleza y experiencias únicas. A través de nuestras actividades de marketing conjuntas, esperamos inspirar a más viajeros del CCG a descubrir España y destacar los numerosos motivos para visitarla durante todo el año.»</w:t>
      </w:r>
    </w:p>
    <w:p w14:paraId="250983F7" w14:textId="137A5849"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sidRPr="00F476E3">
        <w:rPr>
          <w:rFonts w:ascii="Century Gothic" w:eastAsia="Century Gothic" w:hAnsi="Century Gothic" w:cs="Century Gothic"/>
          <w:sz w:val="22"/>
          <w:szCs w:val="22"/>
        </w:rPr>
        <w:t xml:space="preserve">La asociación llevará a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y a la Oficina de Turismo de España a explorar una serie de iniciativas diseñadas para aumentar el conocimiento del destino en mercados clave de Oriente Medio y fomentar las reservas de paquetes vacacionales. Estas incluyen campañas de marketing integradas, promociones estacionales que destacan la variedad de experiencias turísticas en España, así como paquetes vacacionales exclusivos que combinan los vuelos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con alojamiento premium, experiencias locales únicas y beneficios adicionales para los viajeros.</w:t>
      </w:r>
    </w:p>
    <w:p w14:paraId="79185266" w14:textId="77777777"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r w:rsidRPr="00F476E3">
        <w:rPr>
          <w:rFonts w:ascii="Century Gothic" w:eastAsia="Century Gothic" w:hAnsi="Century Gothic" w:cs="Century Gothic"/>
          <w:sz w:val="22"/>
          <w:szCs w:val="22"/>
        </w:rPr>
        <w:t xml:space="preserve">La colaboración también reforzará la colaboración comercial mediante programas de formación para agentes de viajes, seminarios web y viajes de familiarización para agentes de toda la región de Oriente Medio, dotando a los socios de un conocimiento más profundo del destino y del producto, y capacitándolos para vender mejor los paquetes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y ofrecer más opciones y valor a sus clientes.  </w:t>
      </w:r>
    </w:p>
    <w:p w14:paraId="351E11AF" w14:textId="43CCF526" w:rsidR="00F476E3" w:rsidRPr="00F476E3"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22"/>
          <w:szCs w:val="22"/>
        </w:rPr>
      </w:pP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ofrece a los clientes una amplia selección de hoteles y experiencias cuidadosamente elegidos en toda España. Respaldada por la red global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y su servicio galardonado,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proporciona a los clientes la comodidad de reservar vuelos, alojamiento, traslados y experiencias como un único paquete integral, </w:t>
      </w:r>
      <w:r w:rsidRPr="00F476E3">
        <w:rPr>
          <w:rFonts w:ascii="Century Gothic" w:eastAsia="Century Gothic" w:hAnsi="Century Gothic" w:cs="Century Gothic"/>
          <w:sz w:val="22"/>
          <w:szCs w:val="22"/>
        </w:rPr>
        <w:lastRenderedPageBreak/>
        <w:t xml:space="preserve">además de beneficiarse de opciones de reserva flexibles, atención </w:t>
      </w:r>
      <w:proofErr w:type="gramStart"/>
      <w:r w:rsidRPr="00F476E3">
        <w:rPr>
          <w:rFonts w:ascii="Century Gothic" w:eastAsia="Century Gothic" w:hAnsi="Century Gothic" w:cs="Century Gothic"/>
          <w:sz w:val="22"/>
          <w:szCs w:val="22"/>
        </w:rPr>
        <w:t>al cliente dedicada</w:t>
      </w:r>
      <w:proofErr w:type="gramEnd"/>
      <w:r w:rsidRPr="00F476E3">
        <w:rPr>
          <w:rFonts w:ascii="Century Gothic" w:eastAsia="Century Gothic" w:hAnsi="Century Gothic" w:cs="Century Gothic"/>
          <w:sz w:val="22"/>
          <w:szCs w:val="22"/>
        </w:rPr>
        <w:t xml:space="preserve"> y la posibilidad de acumular </w:t>
      </w:r>
      <w:r>
        <w:rPr>
          <w:rFonts w:ascii="Century Gothic" w:eastAsia="Century Gothic" w:hAnsi="Century Gothic" w:cs="Century Gothic"/>
          <w:sz w:val="22"/>
          <w:szCs w:val="22"/>
        </w:rPr>
        <w:t xml:space="preserve">millas </w:t>
      </w:r>
      <w:proofErr w:type="spellStart"/>
      <w:r w:rsidRPr="00F476E3">
        <w:rPr>
          <w:rFonts w:ascii="Century Gothic" w:eastAsia="Century Gothic" w:hAnsi="Century Gothic" w:cs="Century Gothic"/>
          <w:sz w:val="22"/>
          <w:szCs w:val="22"/>
        </w:rPr>
        <w:t>Skywards</w:t>
      </w:r>
      <w:proofErr w:type="spellEnd"/>
      <w:r w:rsidRPr="00F476E3">
        <w:rPr>
          <w:rFonts w:ascii="Century Gothic" w:eastAsia="Century Gothic" w:hAnsi="Century Gothic" w:cs="Century Gothic"/>
          <w:sz w:val="22"/>
          <w:szCs w:val="22"/>
        </w:rPr>
        <w:t xml:space="preserve"> adicionales en sus vacaciones completas.</w:t>
      </w:r>
    </w:p>
    <w:p w14:paraId="7D31657E" w14:textId="5D993F5D" w:rsidR="00D02FE4" w:rsidRDefault="00F476E3" w:rsidP="00F476E3">
      <w:pPr>
        <w:pBdr>
          <w:top w:val="nil"/>
          <w:left w:val="nil"/>
          <w:bottom w:val="nil"/>
          <w:right w:val="nil"/>
          <w:between w:val="nil"/>
        </w:pBdr>
        <w:spacing w:before="280" w:line="360" w:lineRule="auto"/>
        <w:jc w:val="both"/>
        <w:rPr>
          <w:rFonts w:ascii="Century Gothic" w:eastAsia="Century Gothic" w:hAnsi="Century Gothic" w:cs="Century Gothic"/>
          <w:sz w:val="18"/>
          <w:szCs w:val="18"/>
        </w:rPr>
      </w:pPr>
      <w:r w:rsidRPr="00F476E3">
        <w:rPr>
          <w:rFonts w:ascii="Century Gothic" w:eastAsia="Century Gothic" w:hAnsi="Century Gothic" w:cs="Century Gothic"/>
          <w:sz w:val="22"/>
          <w:szCs w:val="22"/>
        </w:rPr>
        <w:t xml:space="preserve">El </w:t>
      </w:r>
      <w:proofErr w:type="spellStart"/>
      <w:r w:rsidRPr="00F476E3">
        <w:rPr>
          <w:rFonts w:ascii="Century Gothic" w:eastAsia="Century Gothic" w:hAnsi="Century Gothic" w:cs="Century Gothic"/>
          <w:sz w:val="22"/>
          <w:szCs w:val="22"/>
        </w:rPr>
        <w:t>MoU</w:t>
      </w:r>
      <w:proofErr w:type="spellEnd"/>
      <w:r w:rsidRPr="00F476E3">
        <w:rPr>
          <w:rFonts w:ascii="Century Gothic" w:eastAsia="Century Gothic" w:hAnsi="Century Gothic" w:cs="Century Gothic"/>
          <w:sz w:val="22"/>
          <w:szCs w:val="22"/>
        </w:rPr>
        <w:t xml:space="preserve"> refleja el compromiso continuo de </w:t>
      </w:r>
      <w:proofErr w:type="spellStart"/>
      <w:r w:rsidRPr="00F476E3">
        <w:rPr>
          <w:rFonts w:ascii="Century Gothic" w:eastAsia="Century Gothic" w:hAnsi="Century Gothic" w:cs="Century Gothic"/>
          <w:sz w:val="22"/>
          <w:szCs w:val="22"/>
        </w:rPr>
        <w:t>Emirates</w:t>
      </w:r>
      <w:proofErr w:type="spellEnd"/>
      <w:r w:rsidRPr="00F476E3">
        <w:rPr>
          <w:rFonts w:ascii="Century Gothic" w:eastAsia="Century Gothic" w:hAnsi="Century Gothic" w:cs="Century Gothic"/>
          <w:sz w:val="22"/>
          <w:szCs w:val="22"/>
        </w:rPr>
        <w:t xml:space="preserve"> </w:t>
      </w:r>
      <w:proofErr w:type="spellStart"/>
      <w:r w:rsidRPr="00F476E3">
        <w:rPr>
          <w:rFonts w:ascii="Century Gothic" w:eastAsia="Century Gothic" w:hAnsi="Century Gothic" w:cs="Century Gothic"/>
          <w:sz w:val="22"/>
          <w:szCs w:val="22"/>
        </w:rPr>
        <w:t>Holidays</w:t>
      </w:r>
      <w:proofErr w:type="spellEnd"/>
      <w:r w:rsidRPr="00F476E3">
        <w:rPr>
          <w:rFonts w:ascii="Century Gothic" w:eastAsia="Century Gothic" w:hAnsi="Century Gothic" w:cs="Century Gothic"/>
          <w:sz w:val="22"/>
          <w:szCs w:val="22"/>
        </w:rPr>
        <w:t xml:space="preserve"> de colaborar estrechamente con oficinas de turismo de todo el mundo para crear experiencias vacacionales diferenciadas, estimular la demanda de viajes y ofrecer a los clientes mayor variedad, un valor excepcional y viajes inolvidables.</w:t>
      </w:r>
    </w:p>
    <w:sectPr w:rsidR="00D02FE4">
      <w:headerReference w:type="default" r:id="rId8"/>
      <w:pgSz w:w="11900" w:h="16840"/>
      <w:pgMar w:top="1417" w:right="1268" w:bottom="734"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6A0B4" w14:textId="77777777" w:rsidR="00C81154" w:rsidRDefault="00C81154">
      <w:r>
        <w:separator/>
      </w:r>
    </w:p>
  </w:endnote>
  <w:endnote w:type="continuationSeparator" w:id="0">
    <w:p w14:paraId="428E39AD" w14:textId="77777777" w:rsidR="00C81154" w:rsidRDefault="00C8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68F00757-D949-3341-BA6E-E78270D6E3D2}"/>
  </w:font>
  <w:font w:name="Times New Roman">
    <w:panose1 w:val="02020603050405020304"/>
    <w:charset w:val="00"/>
    <w:family w:val="roman"/>
    <w:pitch w:val="variable"/>
    <w:sig w:usb0="E0002EFF" w:usb1="C000785B" w:usb2="00000009" w:usb3="00000000" w:csb0="000001FF" w:csb1="00000000"/>
    <w:embedRegular r:id="rId2" w:fontKey="{A39CD2F6-3948-DD46-BBAE-510350B7081C}"/>
    <w:embedBold r:id="rId3" w:fontKey="{0870F415-F73C-3D44-8F90-10816A18FD3F}"/>
    <w:embedItalic r:id="rId4" w:fontKey="{1E067F3C-A1FA-E74A-BCB9-B713783D1C6B}"/>
  </w:font>
  <w:font w:name="Courier New">
    <w:panose1 w:val="02070309020205020404"/>
    <w:charset w:val="00"/>
    <w:family w:val="modern"/>
    <w:pitch w:val="fixed"/>
    <w:sig w:usb0="E0002EFF" w:usb1="C0007843" w:usb2="00000009" w:usb3="00000000" w:csb0="000001FF" w:csb1="00000000"/>
    <w:embedRegular r:id="rId5" w:fontKey="{EE1C29D8-27E8-3F4F-B879-0F5C3130CA08}"/>
  </w:font>
  <w:font w:name="Wingdings">
    <w:panose1 w:val="05000000000000000000"/>
    <w:charset w:val="4D"/>
    <w:family w:val="decorative"/>
    <w:pitch w:val="variable"/>
    <w:sig w:usb0="00000003" w:usb1="00000000" w:usb2="00000000" w:usb3="00000000" w:csb0="80000001" w:csb1="00000000"/>
    <w:embedRegular r:id="rId6" w:fontKey="{5F5AC765-9946-AC46-8D1F-F0494EB975D6}"/>
  </w:font>
  <w:font w:name="Calibri">
    <w:panose1 w:val="020F0502020204030204"/>
    <w:charset w:val="00"/>
    <w:family w:val="swiss"/>
    <w:pitch w:val="variable"/>
    <w:sig w:usb0="E0002AFF" w:usb1="C000247B" w:usb2="00000009" w:usb3="00000000" w:csb0="000001FF" w:csb1="00000000"/>
    <w:embedRegular r:id="rId7" w:fontKey="{E0BBA147-D5DA-4E44-8FCA-3BB18D23C663}"/>
  </w:font>
  <w:font w:name="Cambria">
    <w:panose1 w:val="02040503050406030204"/>
    <w:charset w:val="00"/>
    <w:family w:val="roman"/>
    <w:pitch w:val="variable"/>
    <w:sig w:usb0="E00002FF" w:usb1="400004FF" w:usb2="00000000" w:usb3="00000000" w:csb0="0000019F" w:csb1="00000000"/>
    <w:embedRegular r:id="rId8" w:fontKey="{24BB1027-FD78-1D43-BAF3-C77675776784}"/>
  </w:font>
  <w:font w:name="Georgia">
    <w:panose1 w:val="02040502050405020303"/>
    <w:charset w:val="00"/>
    <w:family w:val="roman"/>
    <w:pitch w:val="variable"/>
    <w:sig w:usb0="00000287" w:usb1="00000000" w:usb2="00000000" w:usb3="00000000" w:csb0="0000009F" w:csb1="00000000"/>
    <w:embedItalic r:id="rId9" w:fontKey="{215792E4-56D5-9844-92F3-032582A44CC4}"/>
  </w:font>
  <w:font w:name="Century Gothic">
    <w:panose1 w:val="020B0502020202020204"/>
    <w:charset w:val="00"/>
    <w:family w:val="swiss"/>
    <w:pitch w:val="variable"/>
    <w:sig w:usb0="00000287" w:usb1="00000000" w:usb2="00000000" w:usb3="00000000" w:csb0="0000009F" w:csb1="00000000"/>
    <w:embedRegular r:id="rId10" w:fontKey="{D36080D9-4244-E848-A091-3E9486552881}"/>
    <w:embedBold r:id="rId11" w:fontKey="{FD0A07F6-3A9E-8D4E-A08F-2BBC27FBE3AC}"/>
    <w:embedItalic r:id="rId12" w:fontKey="{14108892-6AC1-A74B-B636-66A0A2D3D0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B9A2" w14:textId="77777777" w:rsidR="00C81154" w:rsidRDefault="00C81154">
      <w:r>
        <w:separator/>
      </w:r>
    </w:p>
  </w:footnote>
  <w:footnote w:type="continuationSeparator" w:id="0">
    <w:p w14:paraId="5BC70426" w14:textId="77777777" w:rsidR="00C81154" w:rsidRDefault="00C8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9E079" w14:textId="77777777" w:rsidR="00D02FE4" w:rsidRDefault="00000000">
    <w:pPr>
      <w:pBdr>
        <w:top w:val="nil"/>
        <w:left w:val="nil"/>
        <w:bottom w:val="nil"/>
        <w:right w:val="nil"/>
        <w:between w:val="nil"/>
      </w:pBdr>
      <w:tabs>
        <w:tab w:val="right" w:pos="8478"/>
      </w:tabs>
      <w:spacing w:after="200"/>
      <w:rPr>
        <w:rFonts w:ascii="Cambria" w:eastAsia="Cambria" w:hAnsi="Cambria" w:cs="Cambria"/>
        <w:color w:val="000000"/>
      </w:rPr>
    </w:pPr>
    <w:r>
      <w:rPr>
        <w:noProof/>
      </w:rPr>
      <w:drawing>
        <wp:anchor distT="0" distB="0" distL="0" distR="0" simplePos="0" relativeHeight="251658240" behindDoc="0" locked="0" layoutInCell="1" hidden="0" allowOverlap="1" wp14:anchorId="7FD662E6" wp14:editId="5E9D0312">
          <wp:simplePos x="0" y="0"/>
          <wp:positionH relativeFrom="column">
            <wp:posOffset>0</wp:posOffset>
          </wp:positionH>
          <wp:positionV relativeFrom="paragraph">
            <wp:posOffset>0</wp:posOffset>
          </wp:positionV>
          <wp:extent cx="2073275" cy="1430655"/>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3275" cy="1430655"/>
                  </a:xfrm>
                  <a:prstGeom prst="rect">
                    <a:avLst/>
                  </a:prstGeom>
                  <a:ln/>
                </pic:spPr>
              </pic:pic>
            </a:graphicData>
          </a:graphic>
        </wp:anchor>
      </w:drawing>
    </w:r>
  </w:p>
  <w:p w14:paraId="03B559DA" w14:textId="77777777" w:rsidR="00D02FE4" w:rsidRDefault="00D02FE4">
    <w:pPr>
      <w:pBdr>
        <w:top w:val="nil"/>
        <w:left w:val="nil"/>
        <w:bottom w:val="nil"/>
        <w:right w:val="nil"/>
        <w:between w:val="nil"/>
      </w:pBdr>
      <w:tabs>
        <w:tab w:val="right" w:pos="8478"/>
      </w:tabs>
      <w:spacing w:after="200"/>
      <w:rPr>
        <w:rFonts w:ascii="Cambria" w:eastAsia="Cambria" w:hAnsi="Cambria" w:cs="Cambria"/>
        <w:color w:val="000000"/>
      </w:rPr>
    </w:pPr>
  </w:p>
  <w:p w14:paraId="5F44B624" w14:textId="77777777" w:rsidR="00D02FE4" w:rsidRDefault="00D02FE4">
    <w:pPr>
      <w:pBdr>
        <w:top w:val="nil"/>
        <w:left w:val="nil"/>
        <w:bottom w:val="nil"/>
        <w:right w:val="nil"/>
        <w:between w:val="nil"/>
      </w:pBdr>
      <w:tabs>
        <w:tab w:val="right" w:pos="8478"/>
      </w:tabs>
      <w:spacing w:after="200"/>
      <w:rPr>
        <w:rFonts w:ascii="Cambria" w:eastAsia="Cambria" w:hAnsi="Cambria" w:cs="Cambria"/>
        <w:color w:val="000000"/>
      </w:rPr>
    </w:pPr>
  </w:p>
  <w:p w14:paraId="6A0C7AE3" w14:textId="77777777" w:rsidR="00D02FE4" w:rsidRDefault="00D02FE4">
    <w:pPr>
      <w:pBdr>
        <w:top w:val="nil"/>
        <w:left w:val="nil"/>
        <w:bottom w:val="nil"/>
        <w:right w:val="nil"/>
        <w:between w:val="nil"/>
      </w:pBdr>
      <w:tabs>
        <w:tab w:val="right" w:pos="8478"/>
      </w:tabs>
      <w:spacing w:after="200"/>
      <w:rPr>
        <w:rFonts w:ascii="Cambria" w:eastAsia="Cambria" w:hAnsi="Cambria" w:cs="Cambria"/>
        <w:color w:val="000000"/>
      </w:rPr>
    </w:pPr>
  </w:p>
  <w:p w14:paraId="7BD3414F" w14:textId="77777777" w:rsidR="00D02FE4" w:rsidRDefault="00D02FE4">
    <w:pPr>
      <w:pBdr>
        <w:top w:val="nil"/>
        <w:left w:val="nil"/>
        <w:bottom w:val="nil"/>
        <w:right w:val="nil"/>
        <w:between w:val="nil"/>
      </w:pBdr>
      <w:tabs>
        <w:tab w:val="right" w:pos="8478"/>
      </w:tabs>
      <w:spacing w:after="200"/>
      <w:rPr>
        <w:rFonts w:ascii="Cambria" w:eastAsia="Cambria" w:hAnsi="Cambria" w:cs="Cambria"/>
        <w:color w:val="000000"/>
      </w:rPr>
    </w:pPr>
  </w:p>
  <w:p w14:paraId="727D74A6" w14:textId="77777777" w:rsidR="00D02FE4" w:rsidRDefault="00D02FE4">
    <w:pPr>
      <w:pBdr>
        <w:top w:val="nil"/>
        <w:left w:val="nil"/>
        <w:bottom w:val="nil"/>
        <w:right w:val="nil"/>
        <w:between w:val="nil"/>
      </w:pBdr>
      <w:tabs>
        <w:tab w:val="right" w:pos="8478"/>
      </w:tabs>
      <w:spacing w:after="200"/>
      <w:rPr>
        <w:rFonts w:ascii="Cambria" w:eastAsia="Cambria" w:hAnsi="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4636"/>
    <w:multiLevelType w:val="multilevel"/>
    <w:tmpl w:val="A812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789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FE4"/>
    <w:rsid w:val="001B2463"/>
    <w:rsid w:val="00291C9D"/>
    <w:rsid w:val="008E3203"/>
    <w:rsid w:val="00B04527"/>
    <w:rsid w:val="00C81154"/>
    <w:rsid w:val="00D02FE4"/>
    <w:rsid w:val="00F47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11B857F"/>
  <w15:docId w15:val="{7E1789A5-C9AB-4449-97A3-FF7AC55B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Pr>
  </w:style>
  <w:style w:type="paragraph" w:styleId="Prrafodelista">
    <w:name w:val="List Paragraph"/>
    <w:aliases w:val="numbered,Paragraphe de liste1,Bullet List,FooterText"/>
    <w:basedOn w:val="Normal"/>
    <w:link w:val="PrrafodelistaCar"/>
    <w:uiPriority w:val="34"/>
    <w:qFormat/>
    <w:rsid w:val="004348AD"/>
    <w:pPr>
      <w:ind w:left="720"/>
      <w:contextualSpacing/>
    </w:pPr>
  </w:style>
  <w:style w:type="character" w:styleId="Hipervnculo">
    <w:name w:val="Hyperlink"/>
    <w:basedOn w:val="Fuentedeprrafopredeter"/>
    <w:uiPriority w:val="99"/>
    <w:unhideWhenUsed/>
    <w:rsid w:val="00D15796"/>
    <w:rPr>
      <w:color w:val="0000FF" w:themeColor="hyperlink"/>
      <w:u w:val="single"/>
    </w:rPr>
  </w:style>
  <w:style w:type="character" w:customStyle="1" w:styleId="Mencinsinresolver1">
    <w:name w:val="Mención sin resolver1"/>
    <w:basedOn w:val="Fuentedeprrafopredeter"/>
    <w:uiPriority w:val="99"/>
    <w:semiHidden/>
    <w:unhideWhenUsed/>
    <w:rsid w:val="007E7562"/>
    <w:rPr>
      <w:color w:val="605E5C"/>
      <w:shd w:val="clear" w:color="auto" w:fill="E1DFDD"/>
    </w:rPr>
  </w:style>
  <w:style w:type="character" w:styleId="Hipervnculovisitado">
    <w:name w:val="FollowedHyperlink"/>
    <w:basedOn w:val="Fuentedeprrafopredeter"/>
    <w:uiPriority w:val="99"/>
    <w:semiHidden/>
    <w:unhideWhenUsed/>
    <w:rsid w:val="007E7562"/>
    <w:rPr>
      <w:color w:val="800080" w:themeColor="followedHyperlink"/>
      <w:u w:val="single"/>
    </w:rPr>
  </w:style>
  <w:style w:type="paragraph" w:styleId="Encabezado">
    <w:name w:val="header"/>
    <w:basedOn w:val="Normal"/>
    <w:link w:val="EncabezadoCar"/>
    <w:uiPriority w:val="99"/>
    <w:unhideWhenUsed/>
    <w:rsid w:val="003E7D4F"/>
    <w:pPr>
      <w:tabs>
        <w:tab w:val="center" w:pos="4252"/>
        <w:tab w:val="right" w:pos="8504"/>
      </w:tabs>
    </w:pPr>
  </w:style>
  <w:style w:type="character" w:customStyle="1" w:styleId="EncabezadoCar">
    <w:name w:val="Encabezado Car"/>
    <w:basedOn w:val="Fuentedeprrafopredeter"/>
    <w:link w:val="Encabezado"/>
    <w:uiPriority w:val="99"/>
    <w:rsid w:val="003E7D4F"/>
  </w:style>
  <w:style w:type="paragraph" w:styleId="Piedepgina">
    <w:name w:val="footer"/>
    <w:basedOn w:val="Normal"/>
    <w:link w:val="PiedepginaCar"/>
    <w:uiPriority w:val="99"/>
    <w:unhideWhenUsed/>
    <w:rsid w:val="003E7D4F"/>
    <w:pPr>
      <w:tabs>
        <w:tab w:val="center" w:pos="4252"/>
        <w:tab w:val="right" w:pos="8504"/>
      </w:tabs>
    </w:pPr>
  </w:style>
  <w:style w:type="character" w:customStyle="1" w:styleId="PiedepginaCar">
    <w:name w:val="Pie de página Car"/>
    <w:basedOn w:val="Fuentedeprrafopredeter"/>
    <w:link w:val="Piedepgina"/>
    <w:uiPriority w:val="99"/>
    <w:rsid w:val="003E7D4F"/>
  </w:style>
  <w:style w:type="paragraph" w:styleId="NormalWeb">
    <w:name w:val="Normal (Web)"/>
    <w:basedOn w:val="Normal"/>
    <w:uiPriority w:val="99"/>
    <w:unhideWhenUsed/>
    <w:rsid w:val="001863FF"/>
    <w:pPr>
      <w:spacing w:before="100" w:beforeAutospacing="1" w:after="100" w:afterAutospacing="1"/>
    </w:pPr>
    <w:rPr>
      <w:rFonts w:ascii="Calibri" w:eastAsiaTheme="minorHAnsi" w:hAnsi="Calibri" w:cs="Calibri"/>
      <w:sz w:val="22"/>
      <w:szCs w:val="22"/>
      <w:lang w:val="en-GB"/>
    </w:rPr>
  </w:style>
  <w:style w:type="character" w:styleId="Textoennegrita">
    <w:name w:val="Strong"/>
    <w:basedOn w:val="Fuentedeprrafopredeter"/>
    <w:uiPriority w:val="22"/>
    <w:qFormat/>
    <w:rsid w:val="009368A3"/>
    <w:rPr>
      <w:b/>
      <w:bCs/>
    </w:rPr>
  </w:style>
  <w:style w:type="character" w:styleId="Mencinsinresolver">
    <w:name w:val="Unresolved Mention"/>
    <w:basedOn w:val="Fuentedeprrafopredeter"/>
    <w:uiPriority w:val="99"/>
    <w:semiHidden/>
    <w:unhideWhenUsed/>
    <w:rsid w:val="005647D6"/>
    <w:rPr>
      <w:color w:val="605E5C"/>
      <w:shd w:val="clear" w:color="auto" w:fill="E1DFDD"/>
    </w:rPr>
  </w:style>
  <w:style w:type="paragraph" w:styleId="Textocomentario">
    <w:name w:val="annotation text"/>
    <w:basedOn w:val="Normal"/>
    <w:link w:val="TextocomentarioCar"/>
    <w:uiPriority w:val="99"/>
    <w:semiHidden/>
    <w:unhideWhenUsed/>
    <w:rsid w:val="005647D6"/>
    <w:pPr>
      <w:spacing w:after="160"/>
    </w:pPr>
    <w:rPr>
      <w:rFonts w:asciiTheme="minorHAnsi" w:eastAsiaTheme="minorEastAsia" w:hAnsiTheme="minorHAnsi" w:cstheme="minorBidi"/>
      <w:sz w:val="20"/>
      <w:szCs w:val="20"/>
      <w:lang w:val="en-GB" w:eastAsia="zh-CN"/>
    </w:rPr>
  </w:style>
  <w:style w:type="character" w:customStyle="1" w:styleId="TextocomentarioCar">
    <w:name w:val="Texto comentario Car"/>
    <w:basedOn w:val="Fuentedeprrafopredeter"/>
    <w:link w:val="Textocomentario"/>
    <w:uiPriority w:val="99"/>
    <w:semiHidden/>
    <w:rsid w:val="005647D6"/>
    <w:rPr>
      <w:rFonts w:asciiTheme="minorHAnsi" w:eastAsiaTheme="minorEastAsia" w:hAnsiTheme="minorHAnsi" w:cstheme="minorBidi"/>
      <w:sz w:val="20"/>
      <w:szCs w:val="20"/>
      <w:lang w:val="en-GB" w:eastAsia="zh-CN"/>
    </w:rPr>
  </w:style>
  <w:style w:type="character" w:customStyle="1" w:styleId="PrrafodelistaCar">
    <w:name w:val="Párrafo de lista Car"/>
    <w:aliases w:val="numbered Car,Paragraphe de liste1 Car,Bullet List Car,FooterText Car"/>
    <w:basedOn w:val="Fuentedeprrafopredeter"/>
    <w:link w:val="Prrafodelista"/>
    <w:uiPriority w:val="34"/>
    <w:locked/>
    <w:rsid w:val="005647D6"/>
  </w:style>
  <w:style w:type="character" w:customStyle="1" w:styleId="wordsection1Char">
    <w:name w:val="wordsection1 Char"/>
    <w:basedOn w:val="Fuentedeprrafopredeter"/>
    <w:link w:val="wordsection1"/>
    <w:uiPriority w:val="99"/>
    <w:locked/>
    <w:rsid w:val="005647D6"/>
    <w:rPr>
      <w:rFonts w:ascii="Calibri" w:hAnsi="Calibri" w:cs="Calibri"/>
    </w:rPr>
  </w:style>
  <w:style w:type="paragraph" w:customStyle="1" w:styleId="wordsection1">
    <w:name w:val="wordsection1"/>
    <w:basedOn w:val="Normal"/>
    <w:link w:val="wordsection1Char"/>
    <w:uiPriority w:val="99"/>
    <w:rsid w:val="005647D6"/>
    <w:rPr>
      <w:rFonts w:ascii="Calibri" w:hAnsi="Calibri" w:cs="Calibri"/>
    </w:rPr>
  </w:style>
  <w:style w:type="character" w:styleId="Refdecomentario">
    <w:name w:val="annotation reference"/>
    <w:basedOn w:val="Fuentedeprrafopredeter"/>
    <w:uiPriority w:val="99"/>
    <w:semiHidden/>
    <w:unhideWhenUsed/>
    <w:rsid w:val="005647D6"/>
    <w:rPr>
      <w:sz w:val="16"/>
      <w:szCs w:val="16"/>
    </w:rPr>
  </w:style>
  <w:style w:type="character" w:customStyle="1" w:styleId="normaltextrun">
    <w:name w:val="normaltextrun"/>
    <w:basedOn w:val="Fuentedeprrafopredeter"/>
    <w:rsid w:val="005647D6"/>
  </w:style>
  <w:style w:type="table" w:customStyle="1" w:styleId="a0">
    <w:basedOn w:val="TableNormal1"/>
    <w:tblPr>
      <w:tblStyleRowBandSize w:val="1"/>
      <w:tblStyleColBandSize w:val="1"/>
    </w:tblPr>
  </w:style>
  <w:style w:type="character" w:styleId="nfasis">
    <w:name w:val="Emphasis"/>
    <w:basedOn w:val="Fuentedeprrafopredeter"/>
    <w:uiPriority w:val="20"/>
    <w:qFormat/>
    <w:rsid w:val="000D6301"/>
    <w:rPr>
      <w:i/>
      <w:iCs/>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k5d7grkGlYwtcTEF45bP4JkWw==">CgMxLjA4AHIhMUtqNzdKS1RWTnFDaTkzN21acHpRWGJjRDNiSFRsb1Zn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639</Words>
  <Characters>3624</Characters>
  <Application>Microsoft Office Word</Application>
  <DocSecurity>0</DocSecurity>
  <Lines>61</Lines>
  <Paragraphs>18</Paragraphs>
  <ScaleCrop>false</ScaleCrop>
  <HeadingPairs>
    <vt:vector size="2" baseType="variant">
      <vt:variant>
        <vt:lpstr>Título</vt:lpstr>
      </vt:variant>
      <vt:variant>
        <vt:i4>1</vt:i4>
      </vt:variant>
    </vt:vector>
  </HeadingPairs>
  <TitlesOfParts>
    <vt:vector size="1" baseType="lpstr">
      <vt:lpstr/>
    </vt:vector>
  </TitlesOfParts>
  <Manager/>
  <Company>SERGAT</Company>
  <LinksUpToDate>false</LinksUpToDate>
  <CharactersWithSpaces>4245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Raquel</cp:lastModifiedBy>
  <cp:revision>5</cp:revision>
  <dcterms:created xsi:type="dcterms:W3CDTF">2026-09-17T08:36:00Z</dcterms:created>
  <dcterms:modified xsi:type="dcterms:W3CDTF">2026-09-17T08:43:00Z</dcterms:modified>
  <cp:category/>
</cp:coreProperties>
</file>