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75D2B" w14:textId="28690D20" w:rsidR="002A554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>Contacto:</w:t>
      </w:r>
    </w:p>
    <w:p w14:paraId="00CE0E05" w14:textId="31850601" w:rsidR="002A554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>EMIRAT</w:t>
      </w:r>
      <w:r w:rsidR="005B15E3">
        <w:rPr>
          <w:rFonts w:ascii="Century Gothic" w:eastAsia="Century Gothic" w:hAnsi="Century Gothic" w:cs="Century Gothic"/>
          <w:color w:val="000000"/>
          <w:sz w:val="18"/>
          <w:szCs w:val="18"/>
        </w:rPr>
        <w:t>ES</w:t>
      </w: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 </w:t>
      </w:r>
    </w:p>
    <w:p w14:paraId="7BFC8FA8" w14:textId="77777777" w:rsidR="002A554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Sergat </w:t>
      </w:r>
    </w:p>
    <w:p w14:paraId="232028EE" w14:textId="77777777" w:rsidR="002A554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>Teléfono: 93 414 02 10</w:t>
      </w:r>
    </w:p>
    <w:p w14:paraId="23CEEC15" w14:textId="77777777" w:rsidR="002A554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Correo electrónico: </w:t>
      </w:r>
      <w:r>
        <w:rPr>
          <w:rFonts w:ascii="Century Gothic" w:eastAsia="Century Gothic" w:hAnsi="Century Gothic" w:cs="Century Gothic"/>
          <w:color w:val="0000FF"/>
          <w:sz w:val="18"/>
          <w:szCs w:val="18"/>
        </w:rPr>
        <w:t xml:space="preserve">prensa@sergat.com   </w:t>
      </w:r>
    </w:p>
    <w:tbl>
      <w:tblPr>
        <w:tblStyle w:val="a0"/>
        <w:tblW w:w="577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775"/>
      </w:tblGrid>
      <w:tr w:rsidR="009B1EE9" w14:paraId="43A73159" w14:textId="77777777">
        <w:trPr>
          <w:jc w:val="center"/>
        </w:trPr>
        <w:tc>
          <w:tcPr>
            <w:tcW w:w="5775" w:type="dxa"/>
            <w:vAlign w:val="center"/>
          </w:tcPr>
          <w:p w14:paraId="5443AF41" w14:textId="77777777" w:rsidR="009B1EE9" w:rsidRDefault="009B1EE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AF094A1" w14:textId="3FF605A4" w:rsidR="006D76E2" w:rsidRDefault="00D90D7E" w:rsidP="006D76E2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center"/>
        <w:rPr>
          <w:rFonts w:ascii="Century Gothic" w:eastAsia="Century Gothic" w:hAnsi="Century Gothic" w:cs="Century Gothic"/>
          <w:b/>
          <w:bCs/>
          <w:iCs/>
        </w:rPr>
      </w:pPr>
      <w:r w:rsidRPr="00D90D7E">
        <w:rPr>
          <w:rFonts w:ascii="Century Gothic" w:eastAsia="Century Gothic" w:hAnsi="Century Gothic" w:cs="Century Gothic"/>
          <w:b/>
          <w:bCs/>
          <w:iCs/>
        </w:rPr>
        <w:t xml:space="preserve">Emirates firma una alianza estratégica con Medical </w:t>
      </w:r>
      <w:proofErr w:type="spellStart"/>
      <w:r w:rsidRPr="00D90D7E">
        <w:rPr>
          <w:rFonts w:ascii="Century Gothic" w:eastAsia="Century Gothic" w:hAnsi="Century Gothic" w:cs="Century Gothic"/>
          <w:b/>
          <w:bCs/>
          <w:iCs/>
        </w:rPr>
        <w:t>Tourism</w:t>
      </w:r>
      <w:proofErr w:type="spellEnd"/>
      <w:r w:rsidRPr="00D90D7E">
        <w:rPr>
          <w:rFonts w:ascii="Century Gothic" w:eastAsia="Century Gothic" w:hAnsi="Century Gothic" w:cs="Century Gothic"/>
          <w:b/>
          <w:bCs/>
          <w:iCs/>
        </w:rPr>
        <w:t xml:space="preserve"> </w:t>
      </w:r>
      <w:proofErr w:type="spellStart"/>
      <w:r w:rsidRPr="00D90D7E">
        <w:rPr>
          <w:rFonts w:ascii="Century Gothic" w:eastAsia="Century Gothic" w:hAnsi="Century Gothic" w:cs="Century Gothic"/>
          <w:b/>
          <w:bCs/>
          <w:iCs/>
        </w:rPr>
        <w:t>Association</w:t>
      </w:r>
      <w:proofErr w:type="spellEnd"/>
      <w:r w:rsidRPr="00D90D7E">
        <w:rPr>
          <w:rFonts w:ascii="Century Gothic" w:eastAsia="Century Gothic" w:hAnsi="Century Gothic" w:cs="Century Gothic"/>
          <w:b/>
          <w:bCs/>
          <w:iCs/>
        </w:rPr>
        <w:t xml:space="preserve"> (MTA) </w:t>
      </w:r>
    </w:p>
    <w:p w14:paraId="5EB3478A" w14:textId="14CE9CB4" w:rsidR="00D90D7E" w:rsidRPr="00D90D7E" w:rsidRDefault="009C5137" w:rsidP="00D90D7E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 w:rsidRPr="009C5137">
        <w:rPr>
          <w:rFonts w:ascii="Century Gothic" w:eastAsia="Century Gothic" w:hAnsi="Century Gothic" w:cs="Century Gothic"/>
          <w:b/>
          <w:sz w:val="22"/>
          <w:szCs w:val="22"/>
        </w:rPr>
        <w:t>Dubái,</w:t>
      </w:r>
      <w:r w:rsidR="005061EC" w:rsidRPr="005061EC">
        <w:t xml:space="preserve"> </w:t>
      </w:r>
      <w:r w:rsidR="005E616D">
        <w:rPr>
          <w:rFonts w:ascii="Century Gothic" w:eastAsia="Century Gothic" w:hAnsi="Century Gothic" w:cs="Century Gothic"/>
          <w:b/>
          <w:sz w:val="22"/>
          <w:szCs w:val="22"/>
        </w:rPr>
        <w:t>UAE</w:t>
      </w:r>
      <w:r w:rsidRPr="009C5137">
        <w:rPr>
          <w:rFonts w:ascii="Century Gothic" w:eastAsia="Century Gothic" w:hAnsi="Century Gothic" w:cs="Century Gothic"/>
          <w:b/>
          <w:sz w:val="22"/>
          <w:szCs w:val="22"/>
        </w:rPr>
        <w:t xml:space="preserve">, </w:t>
      </w:r>
      <w:r w:rsidR="001D5B1E">
        <w:rPr>
          <w:rFonts w:ascii="Century Gothic" w:eastAsia="Century Gothic" w:hAnsi="Century Gothic" w:cs="Century Gothic"/>
          <w:b/>
          <w:sz w:val="22"/>
          <w:szCs w:val="22"/>
        </w:rPr>
        <w:t>1</w:t>
      </w:r>
      <w:r w:rsidR="000C6DC3">
        <w:rPr>
          <w:rFonts w:ascii="Century Gothic" w:eastAsia="Century Gothic" w:hAnsi="Century Gothic" w:cs="Century Gothic"/>
          <w:b/>
          <w:sz w:val="22"/>
          <w:szCs w:val="22"/>
        </w:rPr>
        <w:t>7</w:t>
      </w:r>
      <w:r w:rsidR="000F414C">
        <w:rPr>
          <w:rFonts w:ascii="Century Gothic" w:eastAsia="Century Gothic" w:hAnsi="Century Gothic" w:cs="Century Gothic"/>
          <w:b/>
          <w:sz w:val="22"/>
          <w:szCs w:val="22"/>
        </w:rPr>
        <w:t xml:space="preserve"> </w:t>
      </w:r>
      <w:r>
        <w:rPr>
          <w:rFonts w:ascii="Century Gothic" w:eastAsia="Century Gothic" w:hAnsi="Century Gothic" w:cs="Century Gothic"/>
          <w:b/>
          <w:sz w:val="22"/>
          <w:szCs w:val="22"/>
        </w:rPr>
        <w:t>de</w:t>
      </w:r>
      <w:r w:rsidR="000F414C">
        <w:rPr>
          <w:rFonts w:ascii="Century Gothic" w:eastAsia="Century Gothic" w:hAnsi="Century Gothic" w:cs="Century Gothic"/>
          <w:b/>
          <w:sz w:val="22"/>
          <w:szCs w:val="22"/>
        </w:rPr>
        <w:t xml:space="preserve"> </w:t>
      </w:r>
      <w:r w:rsidR="00E44CEB">
        <w:rPr>
          <w:rFonts w:ascii="Century Gothic" w:eastAsia="Century Gothic" w:hAnsi="Century Gothic" w:cs="Century Gothic"/>
          <w:b/>
          <w:sz w:val="22"/>
          <w:szCs w:val="22"/>
        </w:rPr>
        <w:t xml:space="preserve">septiembre </w:t>
      </w:r>
      <w:r w:rsidR="0056135F" w:rsidRPr="00D12AFF">
        <w:rPr>
          <w:rFonts w:ascii="Century Gothic" w:eastAsia="Century Gothic" w:hAnsi="Century Gothic" w:cs="Century Gothic"/>
          <w:b/>
          <w:sz w:val="22"/>
          <w:szCs w:val="22"/>
        </w:rPr>
        <w:t>de 202</w:t>
      </w:r>
      <w:r w:rsidR="003A5FAA">
        <w:rPr>
          <w:rFonts w:ascii="Century Gothic" w:eastAsia="Century Gothic" w:hAnsi="Century Gothic" w:cs="Century Gothic"/>
          <w:b/>
          <w:sz w:val="22"/>
          <w:szCs w:val="22"/>
        </w:rPr>
        <w:t>6</w:t>
      </w:r>
      <w:r w:rsidR="0056135F" w:rsidRPr="00D12AFF">
        <w:rPr>
          <w:rFonts w:ascii="Century Gothic" w:eastAsia="Century Gothic" w:hAnsi="Century Gothic" w:cs="Century Gothic"/>
          <w:b/>
          <w:sz w:val="22"/>
          <w:szCs w:val="22"/>
        </w:rPr>
        <w:t>:</w:t>
      </w:r>
      <w:r w:rsidR="0056135F" w:rsidRPr="000E5888">
        <w:rPr>
          <w:rFonts w:ascii="Century Gothic" w:eastAsia="Century Gothic" w:hAnsi="Century Gothic" w:cs="Century Gothic"/>
          <w:b/>
          <w:sz w:val="22"/>
          <w:szCs w:val="22"/>
        </w:rPr>
        <w:t xml:space="preserve"> </w:t>
      </w:r>
      <w:r w:rsidR="00D90D7E" w:rsidRPr="00D90D7E">
        <w:rPr>
          <w:rFonts w:ascii="Century Gothic" w:eastAsia="Century Gothic" w:hAnsi="Century Gothic" w:cs="Century Gothic"/>
          <w:sz w:val="22"/>
          <w:szCs w:val="22"/>
        </w:rPr>
        <w:t xml:space="preserve">Emirates ha firmado un </w:t>
      </w:r>
      <w:proofErr w:type="spellStart"/>
      <w:r w:rsidR="00D90D7E" w:rsidRPr="00D90D7E">
        <w:rPr>
          <w:rFonts w:ascii="Century Gothic" w:eastAsia="Century Gothic" w:hAnsi="Century Gothic" w:cs="Century Gothic"/>
          <w:sz w:val="22"/>
          <w:szCs w:val="22"/>
        </w:rPr>
        <w:t>Memorandum</w:t>
      </w:r>
      <w:proofErr w:type="spellEnd"/>
      <w:r w:rsidR="00D90D7E" w:rsidRPr="00D90D7E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proofErr w:type="spellStart"/>
      <w:r w:rsidR="00D90D7E" w:rsidRPr="00D90D7E">
        <w:rPr>
          <w:rFonts w:ascii="Century Gothic" w:eastAsia="Century Gothic" w:hAnsi="Century Gothic" w:cs="Century Gothic"/>
          <w:sz w:val="22"/>
          <w:szCs w:val="22"/>
        </w:rPr>
        <w:t>of</w:t>
      </w:r>
      <w:proofErr w:type="spellEnd"/>
      <w:r w:rsidR="00D90D7E" w:rsidRPr="00D90D7E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proofErr w:type="spellStart"/>
      <w:r w:rsidR="00D90D7E" w:rsidRPr="00D90D7E">
        <w:rPr>
          <w:rFonts w:ascii="Century Gothic" w:eastAsia="Century Gothic" w:hAnsi="Century Gothic" w:cs="Century Gothic"/>
          <w:sz w:val="22"/>
          <w:szCs w:val="22"/>
        </w:rPr>
        <w:t>Understanding</w:t>
      </w:r>
      <w:proofErr w:type="spellEnd"/>
      <w:r w:rsidR="00D90D7E" w:rsidRPr="00D90D7E">
        <w:rPr>
          <w:rFonts w:ascii="Century Gothic" w:eastAsia="Century Gothic" w:hAnsi="Century Gothic" w:cs="Century Gothic"/>
          <w:sz w:val="22"/>
          <w:szCs w:val="22"/>
        </w:rPr>
        <w:t xml:space="preserve"> (</w:t>
      </w:r>
      <w:proofErr w:type="spellStart"/>
      <w:r w:rsidR="00D90D7E" w:rsidRPr="00D90D7E">
        <w:rPr>
          <w:rFonts w:ascii="Century Gothic" w:eastAsia="Century Gothic" w:hAnsi="Century Gothic" w:cs="Century Gothic"/>
          <w:sz w:val="22"/>
          <w:szCs w:val="22"/>
        </w:rPr>
        <w:t>MoU</w:t>
      </w:r>
      <w:proofErr w:type="spellEnd"/>
      <w:r w:rsidR="00D90D7E" w:rsidRPr="00D90D7E">
        <w:rPr>
          <w:rFonts w:ascii="Century Gothic" w:eastAsia="Century Gothic" w:hAnsi="Century Gothic" w:cs="Century Gothic"/>
          <w:sz w:val="22"/>
          <w:szCs w:val="22"/>
        </w:rPr>
        <w:t xml:space="preserve">) con la Medical </w:t>
      </w:r>
      <w:proofErr w:type="spellStart"/>
      <w:r w:rsidR="00D90D7E" w:rsidRPr="00D90D7E">
        <w:rPr>
          <w:rFonts w:ascii="Century Gothic" w:eastAsia="Century Gothic" w:hAnsi="Century Gothic" w:cs="Century Gothic"/>
          <w:sz w:val="22"/>
          <w:szCs w:val="22"/>
        </w:rPr>
        <w:t>Tourism</w:t>
      </w:r>
      <w:proofErr w:type="spellEnd"/>
      <w:r w:rsidR="00D90D7E" w:rsidRPr="00D90D7E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proofErr w:type="spellStart"/>
      <w:r w:rsidR="00D90D7E" w:rsidRPr="00D90D7E">
        <w:rPr>
          <w:rFonts w:ascii="Century Gothic" w:eastAsia="Century Gothic" w:hAnsi="Century Gothic" w:cs="Century Gothic"/>
          <w:sz w:val="22"/>
          <w:szCs w:val="22"/>
        </w:rPr>
        <w:t>Association</w:t>
      </w:r>
      <w:proofErr w:type="spellEnd"/>
      <w:r w:rsidR="00D90D7E" w:rsidRPr="00D90D7E">
        <w:rPr>
          <w:rFonts w:ascii="Century Gothic" w:eastAsia="Century Gothic" w:hAnsi="Century Gothic" w:cs="Century Gothic"/>
          <w:sz w:val="22"/>
          <w:szCs w:val="22"/>
        </w:rPr>
        <w:t xml:space="preserve"> (MTA), lo que refleja un impulso específico para ampliar la presencia de la aerolínea en uno de los segmentos de mayor crecimiento del turismo internacional: el turismo médico.</w:t>
      </w:r>
      <w:r w:rsidR="006D76E2">
        <w:rPr>
          <w:rFonts w:ascii="Century Gothic" w:eastAsia="Century Gothic" w:hAnsi="Century Gothic" w:cs="Century Gothic"/>
          <w:sz w:val="22"/>
          <w:szCs w:val="22"/>
        </w:rPr>
        <w:t xml:space="preserve"> </w:t>
      </w:r>
    </w:p>
    <w:p w14:paraId="21ABB435" w14:textId="7519F9B0" w:rsidR="00D90D7E" w:rsidRPr="00D90D7E" w:rsidRDefault="00D90D7E" w:rsidP="00D90D7E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 w:rsidRPr="00D90D7E">
        <w:rPr>
          <w:rFonts w:ascii="Century Gothic" w:eastAsia="Century Gothic" w:hAnsi="Century Gothic" w:cs="Century Gothic"/>
          <w:sz w:val="22"/>
          <w:szCs w:val="22"/>
        </w:rPr>
        <w:t>El acuerdo, firmado en el marco de</w:t>
      </w:r>
      <w:r w:rsidR="006D76E2">
        <w:rPr>
          <w:rFonts w:ascii="Century Gothic" w:eastAsia="Century Gothic" w:hAnsi="Century Gothic" w:cs="Century Gothic"/>
          <w:sz w:val="22"/>
          <w:szCs w:val="22"/>
        </w:rPr>
        <w:t xml:space="preserve"> la</w:t>
      </w:r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ATM 2026, refleja la estrategia de Emirates de ir más allá de los viajes tradicionales de ocio y corporativos para establecer relaciones estructuradas y a largo plazo con una organización que ocupa una posición central en la forma en que las personas viajan por motivos médicos. La demanda a largo plazo de viajes relacionados con la atención sanitaria es sólida y cuenta con un perfil de viajero de alto poder adquisitivo. La combinación de la posición de Dubái como uno de los principales </w:t>
      </w:r>
      <w:proofErr w:type="spellStart"/>
      <w:r w:rsidRPr="006D76E2">
        <w:rPr>
          <w:rFonts w:ascii="Century Gothic" w:eastAsia="Century Gothic" w:hAnsi="Century Gothic" w:cs="Century Gothic"/>
          <w:i/>
          <w:iCs/>
          <w:sz w:val="22"/>
          <w:szCs w:val="22"/>
        </w:rPr>
        <w:t>hubs</w:t>
      </w:r>
      <w:proofErr w:type="spellEnd"/>
      <w:r w:rsidRPr="006D76E2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de </w:t>
      </w:r>
      <w:proofErr w:type="spellStart"/>
      <w:r w:rsidRPr="006D76E2">
        <w:rPr>
          <w:rFonts w:ascii="Century Gothic" w:eastAsia="Century Gothic" w:hAnsi="Century Gothic" w:cs="Century Gothic"/>
          <w:i/>
          <w:iCs/>
          <w:sz w:val="22"/>
          <w:szCs w:val="22"/>
        </w:rPr>
        <w:t>healthcare</w:t>
      </w:r>
      <w:proofErr w:type="spellEnd"/>
      <w:r w:rsidRPr="006D76E2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, </w:t>
      </w:r>
      <w:proofErr w:type="spellStart"/>
      <w:r w:rsidRPr="006D76E2">
        <w:rPr>
          <w:rFonts w:ascii="Century Gothic" w:eastAsia="Century Gothic" w:hAnsi="Century Gothic" w:cs="Century Gothic"/>
          <w:i/>
          <w:iCs/>
          <w:sz w:val="22"/>
          <w:szCs w:val="22"/>
        </w:rPr>
        <w:t>wellness</w:t>
      </w:r>
      <w:proofErr w:type="spellEnd"/>
      <w:r w:rsidRPr="006D76E2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y medical </w:t>
      </w:r>
      <w:proofErr w:type="spellStart"/>
      <w:r w:rsidRPr="006D76E2">
        <w:rPr>
          <w:rFonts w:ascii="Century Gothic" w:eastAsia="Century Gothic" w:hAnsi="Century Gothic" w:cs="Century Gothic"/>
          <w:i/>
          <w:iCs/>
          <w:sz w:val="22"/>
          <w:szCs w:val="22"/>
        </w:rPr>
        <w:t>tourism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>, junto con la red de Emirates de cerca de 140 destinos, crea una conexión natural y una plataforma para un crecimiento sostenido para ambas organizaciones.</w:t>
      </w:r>
      <w:r w:rsidR="006D76E2">
        <w:rPr>
          <w:rFonts w:ascii="Century Gothic" w:eastAsia="Century Gothic" w:hAnsi="Century Gothic" w:cs="Century Gothic"/>
          <w:sz w:val="22"/>
          <w:szCs w:val="22"/>
        </w:rPr>
        <w:t xml:space="preserve"> </w:t>
      </w:r>
    </w:p>
    <w:p w14:paraId="025E57FB" w14:textId="77777777" w:rsidR="00D90D7E" w:rsidRPr="00D90D7E" w:rsidRDefault="00D90D7E" w:rsidP="00D90D7E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Adnan Kazim, Deputy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President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y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Chief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Commercial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Officer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de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Emirates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>, afirmó: «La atención sanitaria es uno de los motivos más importantes por los que las personas viajan internacionalmente y está creciendo de forma significativa. Nuestra nueva alianza con MTA sitúa a Emirates allí donde se dirige la demanda premium, y nuestra red y nuestros productos superiores, tanto a bordo como en tierra, proporcionan una plataforma natural para atender a estos viajeros. Los conocimientos que obtengamos trabajando con MTA también nos ayudarán a desarrollar propuestas de producto realmente adaptadas a la forma en que estos viajeros planifican, reservan y viven sus viajes».</w:t>
      </w:r>
    </w:p>
    <w:p w14:paraId="5D97FB37" w14:textId="18F862AC" w:rsidR="00D90D7E" w:rsidRPr="00D90D7E" w:rsidRDefault="00D90D7E" w:rsidP="00D90D7E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 w:rsidRPr="00D90D7E">
        <w:rPr>
          <w:rFonts w:ascii="Century Gothic" w:eastAsia="Century Gothic" w:hAnsi="Century Gothic" w:cs="Century Gothic"/>
          <w:sz w:val="22"/>
          <w:szCs w:val="22"/>
        </w:rPr>
        <w:lastRenderedPageBreak/>
        <w:t xml:space="preserve">Jonathan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Edelheit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, CEO y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Founder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de Medical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Tourism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Association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>, afirmó: «Los hospitales y las clínicas llevan años intentando llegar a pacientes internacionales</w:t>
      </w:r>
      <w:r w:rsidR="006D76E2">
        <w:rPr>
          <w:rFonts w:ascii="Century Gothic" w:eastAsia="Century Gothic" w:hAnsi="Century Gothic" w:cs="Century Gothic"/>
          <w:sz w:val="22"/>
          <w:szCs w:val="22"/>
        </w:rPr>
        <w:t>.</w:t>
      </w:r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Lo que cambia con esta alianza es que ahora la demanda cuenta con un recorrido, desde una aerolínea global hasta un proveedor acreditado, a través de Better by MTA. Los proveedores que cumplan el estándar serán aquellos hacia los que conduzca ese recorrido».</w:t>
      </w:r>
    </w:p>
    <w:p w14:paraId="0D9441E8" w14:textId="77777777" w:rsidR="00D90D7E" w:rsidRPr="006D76E2" w:rsidRDefault="00D90D7E" w:rsidP="00D90D7E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b/>
          <w:bCs/>
          <w:sz w:val="22"/>
          <w:szCs w:val="22"/>
        </w:rPr>
      </w:pPr>
      <w:r w:rsidRPr="006D76E2"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Medical </w:t>
      </w:r>
      <w:proofErr w:type="spellStart"/>
      <w:r w:rsidRPr="006D76E2">
        <w:rPr>
          <w:rFonts w:ascii="Century Gothic" w:eastAsia="Century Gothic" w:hAnsi="Century Gothic" w:cs="Century Gothic"/>
          <w:b/>
          <w:bCs/>
          <w:sz w:val="22"/>
          <w:szCs w:val="22"/>
        </w:rPr>
        <w:t>Tourism</w:t>
      </w:r>
      <w:proofErr w:type="spellEnd"/>
      <w:r w:rsidRPr="006D76E2"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 </w:t>
      </w:r>
      <w:proofErr w:type="spellStart"/>
      <w:r w:rsidRPr="006D76E2">
        <w:rPr>
          <w:rFonts w:ascii="Century Gothic" w:eastAsia="Century Gothic" w:hAnsi="Century Gothic" w:cs="Century Gothic"/>
          <w:b/>
          <w:bCs/>
          <w:sz w:val="22"/>
          <w:szCs w:val="22"/>
        </w:rPr>
        <w:t>Association</w:t>
      </w:r>
      <w:proofErr w:type="spellEnd"/>
      <w:r w:rsidRPr="006D76E2">
        <w:rPr>
          <w:rFonts w:ascii="Century Gothic" w:eastAsia="Century Gothic" w:hAnsi="Century Gothic" w:cs="Century Gothic"/>
          <w:b/>
          <w:bCs/>
          <w:sz w:val="22"/>
          <w:szCs w:val="22"/>
        </w:rPr>
        <w:t>: una alianza pionera para una aerolínea</w:t>
      </w:r>
    </w:p>
    <w:p w14:paraId="23F4A276" w14:textId="73FEE92F" w:rsidR="00D90D7E" w:rsidRPr="00D90D7E" w:rsidRDefault="00D90D7E" w:rsidP="00D90D7E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La alianza de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Emirates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con Medical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Tourism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Association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(MTA), la principal organización sin ánimo de lucro del mundo dedicada al sector del turismo </w:t>
      </w:r>
      <w:r w:rsidR="006D76E2" w:rsidRPr="00D90D7E">
        <w:rPr>
          <w:rFonts w:ascii="Century Gothic" w:eastAsia="Century Gothic" w:hAnsi="Century Gothic" w:cs="Century Gothic"/>
          <w:sz w:val="22"/>
          <w:szCs w:val="22"/>
        </w:rPr>
        <w:t>médico</w:t>
      </w:r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tiene como objetivo desarrollar un enfoque estructurado hacia los viajes médicos, de </w:t>
      </w:r>
      <w:proofErr w:type="spellStart"/>
      <w:proofErr w:type="gramStart"/>
      <w:r w:rsidRPr="006D76E2">
        <w:rPr>
          <w:rFonts w:ascii="Century Gothic" w:eastAsia="Century Gothic" w:hAnsi="Century Gothic" w:cs="Century Gothic"/>
          <w:i/>
          <w:iCs/>
          <w:sz w:val="22"/>
          <w:szCs w:val="22"/>
        </w:rPr>
        <w:t>wellness</w:t>
      </w:r>
      <w:proofErr w:type="spellEnd"/>
      <w:proofErr w:type="gramEnd"/>
      <w:r w:rsidRPr="006D76E2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y de </w:t>
      </w:r>
      <w:proofErr w:type="spellStart"/>
      <w:r w:rsidRPr="006D76E2">
        <w:rPr>
          <w:rFonts w:ascii="Century Gothic" w:eastAsia="Century Gothic" w:hAnsi="Century Gothic" w:cs="Century Gothic"/>
          <w:i/>
          <w:iCs/>
          <w:sz w:val="22"/>
          <w:szCs w:val="22"/>
        </w:rPr>
        <w:t>longevity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como un nuevo segmento estratégico de clientes para la aerolínea.</w:t>
      </w:r>
      <w:r w:rsidR="006D76E2">
        <w:rPr>
          <w:rFonts w:ascii="Century Gothic" w:eastAsia="Century Gothic" w:hAnsi="Century Gothic" w:cs="Century Gothic"/>
          <w:sz w:val="22"/>
          <w:szCs w:val="22"/>
        </w:rPr>
        <w:t xml:space="preserve"> </w:t>
      </w:r>
    </w:p>
    <w:p w14:paraId="2DDDFC50" w14:textId="77777777" w:rsidR="00D90D7E" w:rsidRPr="00D90D7E" w:rsidRDefault="00D90D7E" w:rsidP="00D90D7E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Emirates colabora con MTA como aerolínea preferente para viajeros internacionales de medical y </w:t>
      </w:r>
      <w:proofErr w:type="spellStart"/>
      <w:proofErr w:type="gramStart"/>
      <w:r w:rsidRPr="00D90D7E">
        <w:rPr>
          <w:rFonts w:ascii="Century Gothic" w:eastAsia="Century Gothic" w:hAnsi="Century Gothic" w:cs="Century Gothic"/>
          <w:sz w:val="22"/>
          <w:szCs w:val="22"/>
        </w:rPr>
        <w:t>wellness</w:t>
      </w:r>
      <w:proofErr w:type="spellEnd"/>
      <w:proofErr w:type="gram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tourism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, combinando la red global de la aerolínea con la posición de Dubái como uno de los principales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hubs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de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healthcare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y medical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tourism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. Como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Airline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partner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de MTA, el objetivo es identificar mercados clave y corredores de viajes médicos, especialmente en África, Asia y Oriente Medio, y desarrollar soluciones de viaje adaptadas, así como una experiencia de cliente mejorada diseñada en torno a las necesidades de pacientes, médicos remitentes, aseguradoras y empresas.</w:t>
      </w:r>
    </w:p>
    <w:p w14:paraId="0AFA247E" w14:textId="77777777" w:rsidR="00D90D7E" w:rsidRPr="00D90D7E" w:rsidRDefault="00D90D7E" w:rsidP="00D90D7E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Más allá del desarrollo comercial de este nuevo segmento en evolución para la aerolínea, el acuerdo también buscará elevar las mejores prácticas y los estándares internacionales en todo el sector. Emirates y MTA colaborarán con proveedores acreditados por Global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Healthcare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Accreditation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(GHA), el organismo de acreditación del sector, en iniciativas de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thought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leadership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,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engagement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con la industria e inteligencia de mercado compartida, con el objetivo de comprender mejor las oportunidades de crecimiento del sector de los viajes médicos.</w:t>
      </w:r>
    </w:p>
    <w:p w14:paraId="4E9077F0" w14:textId="77777777" w:rsidR="00D90D7E" w:rsidRPr="00D90D7E" w:rsidRDefault="00D90D7E" w:rsidP="00D90D7E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 w:rsidRPr="00D90D7E">
        <w:rPr>
          <w:rFonts w:ascii="Century Gothic" w:eastAsia="Century Gothic" w:hAnsi="Century Gothic" w:cs="Century Gothic"/>
          <w:sz w:val="22"/>
          <w:szCs w:val="22"/>
        </w:rPr>
        <w:t>La alianza también respalda la ambición de Emirates de convertirse en la primera aerolínea del mundo acreditada por GHA.</w:t>
      </w:r>
    </w:p>
    <w:p w14:paraId="744A1359" w14:textId="77777777" w:rsidR="00D90D7E" w:rsidRDefault="00D90D7E" w:rsidP="00D90D7E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 w:rsidRPr="00D90D7E">
        <w:rPr>
          <w:rFonts w:ascii="Century Gothic" w:eastAsia="Century Gothic" w:hAnsi="Century Gothic" w:cs="Century Gothic"/>
          <w:sz w:val="22"/>
          <w:szCs w:val="22"/>
        </w:rPr>
        <w:lastRenderedPageBreak/>
        <w:t xml:space="preserve">La red global de MTA llega a más de 500.000 proveedores de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healthcare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, empresas, aseguradoras y líderes del sector, así como a millones de viajeros potenciales de medical y </w:t>
      </w:r>
      <w:proofErr w:type="spellStart"/>
      <w:proofErr w:type="gramStart"/>
      <w:r w:rsidRPr="00D90D7E">
        <w:rPr>
          <w:rFonts w:ascii="Century Gothic" w:eastAsia="Century Gothic" w:hAnsi="Century Gothic" w:cs="Century Gothic"/>
          <w:sz w:val="22"/>
          <w:szCs w:val="22"/>
        </w:rPr>
        <w:t>wellness</w:t>
      </w:r>
      <w:proofErr w:type="spellEnd"/>
      <w:proofErr w:type="gram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tourism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cada año a través de sus plataformas, mantiene relaciones directas con gobiernos de más de 100 países e integra la coordinación asistencial, los viajes y los pagos impulsados por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Mastercard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®. Como parte de la alianza, Emirates y MTA explorarán oportunidades para aprovechar esta plataforma para ayudar a los viajeros a identificar proveedores acreditados, coordinar tratamientos y preparativos de viaje y realizar pagos de forma segura entre fronteras, creando una experiencia de medical </w:t>
      </w:r>
      <w:proofErr w:type="spellStart"/>
      <w:r w:rsidRPr="00D90D7E">
        <w:rPr>
          <w:rFonts w:ascii="Century Gothic" w:eastAsia="Century Gothic" w:hAnsi="Century Gothic" w:cs="Century Gothic"/>
          <w:sz w:val="22"/>
          <w:szCs w:val="22"/>
        </w:rPr>
        <w:t>travel</w:t>
      </w:r>
      <w:proofErr w:type="spellEnd"/>
      <w:r w:rsidRPr="00D90D7E">
        <w:rPr>
          <w:rFonts w:ascii="Century Gothic" w:eastAsia="Century Gothic" w:hAnsi="Century Gothic" w:cs="Century Gothic"/>
          <w:sz w:val="22"/>
          <w:szCs w:val="22"/>
        </w:rPr>
        <w:t xml:space="preserve"> más fluida de principio a fin.</w:t>
      </w:r>
    </w:p>
    <w:p w14:paraId="04AFA4AA" w14:textId="77777777" w:rsidR="00D90D7E" w:rsidRDefault="00D90D7E" w:rsidP="00D90D7E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</w:p>
    <w:p w14:paraId="69A0898F" w14:textId="77777777" w:rsidR="00900AE3" w:rsidRDefault="00900AE3" w:rsidP="00582394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sectPr w:rsidR="00900AE3">
      <w:headerReference w:type="default" r:id="rId8"/>
      <w:pgSz w:w="11900" w:h="16840"/>
      <w:pgMar w:top="1417" w:right="1268" w:bottom="734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C51FB" w14:textId="77777777" w:rsidR="0058493B" w:rsidRDefault="0058493B">
      <w:r>
        <w:separator/>
      </w:r>
    </w:p>
  </w:endnote>
  <w:endnote w:type="continuationSeparator" w:id="0">
    <w:p w14:paraId="02E74D9C" w14:textId="77777777" w:rsidR="0058493B" w:rsidRDefault="00584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1" w:fontKey="{FD1036C2-A2FF-DC43-A902-531EB94620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D21C457-3D13-714C-9127-BDEC017C67BA}"/>
    <w:embedBold r:id="rId3" w:fontKey="{1BD80730-0D27-D745-A1AA-00A7C4F89311}"/>
    <w:embedItalic r:id="rId4" w:fontKey="{CC10C84C-9E7E-354F-9056-EB14BE39A1E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2362CC0A-64DB-544F-B580-654904089FF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8707DA21-C879-1A43-8A7D-24A40ACB05FC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7" w:fontKey="{68680A91-31C1-DF4C-A5E5-AB5C2D2372D7}"/>
    <w:embedBold r:id="rId8" w:fontKey="{FF29AE94-A824-564C-88B1-4565F32E0B0D}"/>
    <w:embedItalic r:id="rId9" w:fontKey="{066E116F-DA13-F94E-AB8A-35A0D3A40940}"/>
    <w:embedBoldItalic r:id="rId10" w:fontKey="{7EB8AE05-21C6-0E4A-8313-686B4276A9C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8ECC5805-6B0F-2D47-97DB-CD679585D737}"/>
    <w:embedItalic r:id="rId12" w:fontKey="{3143BEDF-E9B2-3F4D-9B49-B8E57EE182F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3" w:fontKey="{EDA8D5F9-DC1E-974A-BB03-CE53C325A8F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AB93134B-E6E8-9040-A62F-76F9772BC50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3EABB" w14:textId="77777777" w:rsidR="0058493B" w:rsidRDefault="0058493B">
      <w:r>
        <w:separator/>
      </w:r>
    </w:p>
  </w:footnote>
  <w:footnote w:type="continuationSeparator" w:id="0">
    <w:p w14:paraId="30E67ACE" w14:textId="77777777" w:rsidR="0058493B" w:rsidRDefault="00584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BD3A5" w14:textId="77777777" w:rsidR="002A554A" w:rsidRDefault="00000000">
    <w:pPr>
      <w:pBdr>
        <w:top w:val="nil"/>
        <w:left w:val="nil"/>
        <w:bottom w:val="nil"/>
        <w:right w:val="nil"/>
        <w:between w:val="nil"/>
      </w:pBdr>
      <w:tabs>
        <w:tab w:val="right" w:pos="8478"/>
      </w:tabs>
      <w:spacing w:after="200"/>
      <w:rPr>
        <w:rFonts w:ascii="Cambria" w:eastAsia="Cambria" w:hAnsi="Cambria" w:cs="Cambria"/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2164F7F3" wp14:editId="3988E78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073275" cy="1430655"/>
          <wp:effectExtent l="0" t="0" r="0" b="0"/>
          <wp:wrapSquare wrapText="bothSides" distT="0" distB="0" distL="0" distR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3275" cy="1430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2A34E6A" w14:textId="77777777" w:rsidR="009B1EE9" w:rsidRDefault="009B1EE9">
    <w:pPr>
      <w:pBdr>
        <w:top w:val="nil"/>
        <w:left w:val="nil"/>
        <w:bottom w:val="nil"/>
        <w:right w:val="nil"/>
        <w:between w:val="nil"/>
      </w:pBdr>
      <w:tabs>
        <w:tab w:val="right" w:pos="8478"/>
      </w:tabs>
      <w:spacing w:after="200"/>
      <w:rPr>
        <w:rFonts w:ascii="Cambria" w:eastAsia="Cambria" w:hAnsi="Cambria" w:cs="Cambria"/>
        <w:color w:val="000000"/>
      </w:rPr>
    </w:pPr>
  </w:p>
  <w:p w14:paraId="4E03FA72" w14:textId="77777777" w:rsidR="009B1EE9" w:rsidRDefault="009B1EE9">
    <w:pPr>
      <w:pBdr>
        <w:top w:val="nil"/>
        <w:left w:val="nil"/>
        <w:bottom w:val="nil"/>
        <w:right w:val="nil"/>
        <w:between w:val="nil"/>
      </w:pBdr>
      <w:tabs>
        <w:tab w:val="right" w:pos="8478"/>
      </w:tabs>
      <w:spacing w:after="200"/>
      <w:rPr>
        <w:rFonts w:ascii="Cambria" w:eastAsia="Cambria" w:hAnsi="Cambria" w:cs="Cambria"/>
        <w:color w:val="000000"/>
      </w:rPr>
    </w:pPr>
  </w:p>
  <w:p w14:paraId="09ABBB44" w14:textId="77777777" w:rsidR="009B1EE9" w:rsidRDefault="009B1EE9">
    <w:pPr>
      <w:pBdr>
        <w:top w:val="nil"/>
        <w:left w:val="nil"/>
        <w:bottom w:val="nil"/>
        <w:right w:val="nil"/>
        <w:between w:val="nil"/>
      </w:pBdr>
      <w:tabs>
        <w:tab w:val="right" w:pos="8478"/>
      </w:tabs>
      <w:spacing w:after="200"/>
      <w:rPr>
        <w:rFonts w:ascii="Cambria" w:eastAsia="Cambria" w:hAnsi="Cambria" w:cs="Cambria"/>
        <w:color w:val="000000"/>
      </w:rPr>
    </w:pPr>
  </w:p>
  <w:p w14:paraId="1C3BCDA3" w14:textId="77777777" w:rsidR="009B1EE9" w:rsidRDefault="009B1EE9">
    <w:pPr>
      <w:pBdr>
        <w:top w:val="nil"/>
        <w:left w:val="nil"/>
        <w:bottom w:val="nil"/>
        <w:right w:val="nil"/>
        <w:between w:val="nil"/>
      </w:pBdr>
      <w:tabs>
        <w:tab w:val="right" w:pos="8478"/>
      </w:tabs>
      <w:spacing w:after="200"/>
      <w:rPr>
        <w:rFonts w:ascii="Cambria" w:eastAsia="Cambria" w:hAnsi="Cambria" w:cs="Cambria"/>
        <w:color w:val="000000"/>
      </w:rPr>
    </w:pPr>
  </w:p>
  <w:p w14:paraId="3D4CA6F4" w14:textId="77777777" w:rsidR="009B1EE9" w:rsidRDefault="009B1EE9">
    <w:pPr>
      <w:pBdr>
        <w:top w:val="nil"/>
        <w:left w:val="nil"/>
        <w:bottom w:val="nil"/>
        <w:right w:val="nil"/>
        <w:between w:val="nil"/>
      </w:pBdr>
      <w:tabs>
        <w:tab w:val="right" w:pos="8478"/>
      </w:tabs>
      <w:spacing w:after="200"/>
      <w:rPr>
        <w:rFonts w:ascii="Cambria" w:eastAsia="Cambria" w:hAnsi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4F46"/>
    <w:multiLevelType w:val="hybridMultilevel"/>
    <w:tmpl w:val="0C6A82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27A0F"/>
    <w:multiLevelType w:val="hybridMultilevel"/>
    <w:tmpl w:val="E54881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94710"/>
    <w:multiLevelType w:val="hybridMultilevel"/>
    <w:tmpl w:val="ECA656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D2840"/>
    <w:multiLevelType w:val="hybridMultilevel"/>
    <w:tmpl w:val="D390E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5746B"/>
    <w:multiLevelType w:val="hybridMultilevel"/>
    <w:tmpl w:val="EA0686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384AD0"/>
    <w:multiLevelType w:val="hybridMultilevel"/>
    <w:tmpl w:val="B664A5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83F7D"/>
    <w:multiLevelType w:val="hybridMultilevel"/>
    <w:tmpl w:val="F976B3E0"/>
    <w:lvl w:ilvl="0" w:tplc="2C54E4F4"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 w:hint="default"/>
        <w:b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746A9"/>
    <w:multiLevelType w:val="hybridMultilevel"/>
    <w:tmpl w:val="F4E6A9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E2EF3"/>
    <w:multiLevelType w:val="multilevel"/>
    <w:tmpl w:val="D7FED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6F4793"/>
    <w:multiLevelType w:val="hybridMultilevel"/>
    <w:tmpl w:val="1C3E01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F1B34"/>
    <w:multiLevelType w:val="hybridMultilevel"/>
    <w:tmpl w:val="9356D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2E5749"/>
    <w:multiLevelType w:val="hybridMultilevel"/>
    <w:tmpl w:val="9BD818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7979BD"/>
    <w:multiLevelType w:val="hybridMultilevel"/>
    <w:tmpl w:val="FEBC41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B36919"/>
    <w:multiLevelType w:val="hybridMultilevel"/>
    <w:tmpl w:val="6C20A2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F37427"/>
    <w:multiLevelType w:val="hybridMultilevel"/>
    <w:tmpl w:val="4CB2DC86"/>
    <w:lvl w:ilvl="0" w:tplc="4C4EB244">
      <w:numFmt w:val="bullet"/>
      <w:lvlText w:val="·"/>
      <w:lvlJc w:val="left"/>
      <w:pPr>
        <w:ind w:left="1056" w:hanging="696"/>
      </w:pPr>
      <w:rPr>
        <w:rFonts w:ascii="Century Gothic" w:eastAsia="Century Gothic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F920FE"/>
    <w:multiLevelType w:val="hybridMultilevel"/>
    <w:tmpl w:val="EE32AA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47563B"/>
    <w:multiLevelType w:val="hybridMultilevel"/>
    <w:tmpl w:val="A0CC31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660DB7"/>
    <w:multiLevelType w:val="multilevel"/>
    <w:tmpl w:val="B05EA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03C5A7C"/>
    <w:multiLevelType w:val="hybridMultilevel"/>
    <w:tmpl w:val="0204BD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F85230"/>
    <w:multiLevelType w:val="hybridMultilevel"/>
    <w:tmpl w:val="98EACC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554DF6"/>
    <w:multiLevelType w:val="multilevel"/>
    <w:tmpl w:val="3D50B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5F6D51"/>
    <w:multiLevelType w:val="hybridMultilevel"/>
    <w:tmpl w:val="1B5C0C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785FCB"/>
    <w:multiLevelType w:val="hybridMultilevel"/>
    <w:tmpl w:val="672EE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B5758D"/>
    <w:multiLevelType w:val="hybridMultilevel"/>
    <w:tmpl w:val="F6B29E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6C6EAF"/>
    <w:multiLevelType w:val="hybridMultilevel"/>
    <w:tmpl w:val="E536F8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390315"/>
    <w:multiLevelType w:val="hybridMultilevel"/>
    <w:tmpl w:val="C64E49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726D6B"/>
    <w:multiLevelType w:val="hybridMultilevel"/>
    <w:tmpl w:val="C1F45D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5B3E2B"/>
    <w:multiLevelType w:val="multilevel"/>
    <w:tmpl w:val="6F3CD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0F03EF0"/>
    <w:multiLevelType w:val="hybridMultilevel"/>
    <w:tmpl w:val="5BCABA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8E1C6C"/>
    <w:multiLevelType w:val="hybridMultilevel"/>
    <w:tmpl w:val="233277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92133B"/>
    <w:multiLevelType w:val="multilevel"/>
    <w:tmpl w:val="DBCCE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3A5EBB"/>
    <w:multiLevelType w:val="hybridMultilevel"/>
    <w:tmpl w:val="CD9448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7A2E9D"/>
    <w:multiLevelType w:val="hybridMultilevel"/>
    <w:tmpl w:val="E1923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80155"/>
    <w:multiLevelType w:val="hybridMultilevel"/>
    <w:tmpl w:val="70ACFD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390CF6"/>
    <w:multiLevelType w:val="multilevel"/>
    <w:tmpl w:val="D7A464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5D91459"/>
    <w:multiLevelType w:val="multilevel"/>
    <w:tmpl w:val="8A44D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AC246A"/>
    <w:multiLevelType w:val="hybridMultilevel"/>
    <w:tmpl w:val="8214A0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6935DF"/>
    <w:multiLevelType w:val="hybridMultilevel"/>
    <w:tmpl w:val="F35214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766D88"/>
    <w:multiLevelType w:val="hybridMultilevel"/>
    <w:tmpl w:val="9F786B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7D7D85"/>
    <w:multiLevelType w:val="hybridMultilevel"/>
    <w:tmpl w:val="6A3CE2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556D92"/>
    <w:multiLevelType w:val="hybridMultilevel"/>
    <w:tmpl w:val="7D0E06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763EB9"/>
    <w:multiLevelType w:val="hybridMultilevel"/>
    <w:tmpl w:val="1FA8B4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FF7345"/>
    <w:multiLevelType w:val="multilevel"/>
    <w:tmpl w:val="BC348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201EE3"/>
    <w:multiLevelType w:val="hybridMultilevel"/>
    <w:tmpl w:val="20DCE28A"/>
    <w:lvl w:ilvl="0" w:tplc="069E23F6"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277486">
    <w:abstractNumId w:val="34"/>
  </w:num>
  <w:num w:numId="2" w16cid:durableId="1893344281">
    <w:abstractNumId w:val="7"/>
  </w:num>
  <w:num w:numId="3" w16cid:durableId="30424713">
    <w:abstractNumId w:val="28"/>
  </w:num>
  <w:num w:numId="4" w16cid:durableId="1589847090">
    <w:abstractNumId w:val="33"/>
  </w:num>
  <w:num w:numId="5" w16cid:durableId="555580128">
    <w:abstractNumId w:val="26"/>
  </w:num>
  <w:num w:numId="6" w16cid:durableId="1738354186">
    <w:abstractNumId w:val="40"/>
  </w:num>
  <w:num w:numId="7" w16cid:durableId="1893540188">
    <w:abstractNumId w:val="43"/>
  </w:num>
  <w:num w:numId="8" w16cid:durableId="686754444">
    <w:abstractNumId w:val="8"/>
  </w:num>
  <w:num w:numId="9" w16cid:durableId="1419711579">
    <w:abstractNumId w:val="15"/>
  </w:num>
  <w:num w:numId="10" w16cid:durableId="1914927177">
    <w:abstractNumId w:val="29"/>
  </w:num>
  <w:num w:numId="11" w16cid:durableId="1698653053">
    <w:abstractNumId w:val="39"/>
  </w:num>
  <w:num w:numId="12" w16cid:durableId="131293694">
    <w:abstractNumId w:val="11"/>
  </w:num>
  <w:num w:numId="13" w16cid:durableId="1093479040">
    <w:abstractNumId w:val="12"/>
  </w:num>
  <w:num w:numId="14" w16cid:durableId="104539555">
    <w:abstractNumId w:val="17"/>
  </w:num>
  <w:num w:numId="15" w16cid:durableId="54404035">
    <w:abstractNumId w:val="21"/>
  </w:num>
  <w:num w:numId="16" w16cid:durableId="1991902034">
    <w:abstractNumId w:val="0"/>
  </w:num>
  <w:num w:numId="17" w16cid:durableId="2111047787">
    <w:abstractNumId w:val="22"/>
  </w:num>
  <w:num w:numId="18" w16cid:durableId="810366165">
    <w:abstractNumId w:val="9"/>
  </w:num>
  <w:num w:numId="19" w16cid:durableId="1333341022">
    <w:abstractNumId w:val="37"/>
  </w:num>
  <w:num w:numId="20" w16cid:durableId="624045821">
    <w:abstractNumId w:val="31"/>
  </w:num>
  <w:num w:numId="21" w16cid:durableId="1342471440">
    <w:abstractNumId w:val="27"/>
  </w:num>
  <w:num w:numId="22" w16cid:durableId="92240824">
    <w:abstractNumId w:val="19"/>
  </w:num>
  <w:num w:numId="23" w16cid:durableId="459612739">
    <w:abstractNumId w:val="18"/>
  </w:num>
  <w:num w:numId="24" w16cid:durableId="831022129">
    <w:abstractNumId w:val="4"/>
  </w:num>
  <w:num w:numId="25" w16cid:durableId="120155785">
    <w:abstractNumId w:val="32"/>
  </w:num>
  <w:num w:numId="26" w16cid:durableId="1322659299">
    <w:abstractNumId w:val="3"/>
  </w:num>
  <w:num w:numId="27" w16cid:durableId="1248688506">
    <w:abstractNumId w:val="13"/>
  </w:num>
  <w:num w:numId="28" w16cid:durableId="632105105">
    <w:abstractNumId w:val="1"/>
  </w:num>
  <w:num w:numId="29" w16cid:durableId="215745165">
    <w:abstractNumId w:val="20"/>
  </w:num>
  <w:num w:numId="30" w16cid:durableId="1654723005">
    <w:abstractNumId w:val="25"/>
  </w:num>
  <w:num w:numId="31" w16cid:durableId="118499714">
    <w:abstractNumId w:val="30"/>
  </w:num>
  <w:num w:numId="32" w16cid:durableId="1591308323">
    <w:abstractNumId w:val="23"/>
  </w:num>
  <w:num w:numId="33" w16cid:durableId="1058016054">
    <w:abstractNumId w:val="35"/>
  </w:num>
  <w:num w:numId="34" w16cid:durableId="1759986848">
    <w:abstractNumId w:val="38"/>
  </w:num>
  <w:num w:numId="35" w16cid:durableId="1737822950">
    <w:abstractNumId w:val="24"/>
  </w:num>
  <w:num w:numId="36" w16cid:durableId="1683161940">
    <w:abstractNumId w:val="36"/>
  </w:num>
  <w:num w:numId="37" w16cid:durableId="1139423932">
    <w:abstractNumId w:val="2"/>
  </w:num>
  <w:num w:numId="38" w16cid:durableId="628559372">
    <w:abstractNumId w:val="14"/>
  </w:num>
  <w:num w:numId="39" w16cid:durableId="49883302">
    <w:abstractNumId w:val="10"/>
  </w:num>
  <w:num w:numId="40" w16cid:durableId="1419449636">
    <w:abstractNumId w:val="42"/>
  </w:num>
  <w:num w:numId="41" w16cid:durableId="247469126">
    <w:abstractNumId w:val="41"/>
  </w:num>
  <w:num w:numId="42" w16cid:durableId="1702706029">
    <w:abstractNumId w:val="6"/>
  </w:num>
  <w:num w:numId="43" w16cid:durableId="72095371">
    <w:abstractNumId w:val="5"/>
  </w:num>
  <w:num w:numId="44" w16cid:durableId="98975176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EE9"/>
    <w:rsid w:val="00001765"/>
    <w:rsid w:val="00043034"/>
    <w:rsid w:val="00043A4D"/>
    <w:rsid w:val="00062412"/>
    <w:rsid w:val="000836B3"/>
    <w:rsid w:val="000A2361"/>
    <w:rsid w:val="000B4516"/>
    <w:rsid w:val="000B7DBD"/>
    <w:rsid w:val="000C6DC3"/>
    <w:rsid w:val="000D6301"/>
    <w:rsid w:val="000E5888"/>
    <w:rsid w:val="000F1853"/>
    <w:rsid w:val="000F39B7"/>
    <w:rsid w:val="000F414C"/>
    <w:rsid w:val="000F6241"/>
    <w:rsid w:val="00105BA9"/>
    <w:rsid w:val="00106BFD"/>
    <w:rsid w:val="00112B06"/>
    <w:rsid w:val="00114501"/>
    <w:rsid w:val="001165EB"/>
    <w:rsid w:val="001211D3"/>
    <w:rsid w:val="001263AF"/>
    <w:rsid w:val="00136E76"/>
    <w:rsid w:val="00142938"/>
    <w:rsid w:val="00143350"/>
    <w:rsid w:val="0016064C"/>
    <w:rsid w:val="001658C1"/>
    <w:rsid w:val="001717F9"/>
    <w:rsid w:val="00173AF1"/>
    <w:rsid w:val="00185652"/>
    <w:rsid w:val="001A7509"/>
    <w:rsid w:val="001B48E0"/>
    <w:rsid w:val="001C22A7"/>
    <w:rsid w:val="001C7635"/>
    <w:rsid w:val="001D5B1E"/>
    <w:rsid w:val="001E742D"/>
    <w:rsid w:val="001F22B0"/>
    <w:rsid w:val="002048F7"/>
    <w:rsid w:val="00205F58"/>
    <w:rsid w:val="0021498E"/>
    <w:rsid w:val="0021597F"/>
    <w:rsid w:val="00222295"/>
    <w:rsid w:val="00227A5B"/>
    <w:rsid w:val="00237C65"/>
    <w:rsid w:val="00252514"/>
    <w:rsid w:val="00253C33"/>
    <w:rsid w:val="002804B0"/>
    <w:rsid w:val="00287A1C"/>
    <w:rsid w:val="00291C9D"/>
    <w:rsid w:val="00291D96"/>
    <w:rsid w:val="002A3AB6"/>
    <w:rsid w:val="002A554A"/>
    <w:rsid w:val="002C3230"/>
    <w:rsid w:val="002D1EDA"/>
    <w:rsid w:val="002F4E87"/>
    <w:rsid w:val="002F6311"/>
    <w:rsid w:val="003144BC"/>
    <w:rsid w:val="00314866"/>
    <w:rsid w:val="003239BA"/>
    <w:rsid w:val="00324CB4"/>
    <w:rsid w:val="00330823"/>
    <w:rsid w:val="003447C8"/>
    <w:rsid w:val="00363627"/>
    <w:rsid w:val="0036509C"/>
    <w:rsid w:val="00367AAA"/>
    <w:rsid w:val="003811C2"/>
    <w:rsid w:val="003831B8"/>
    <w:rsid w:val="003960EC"/>
    <w:rsid w:val="003A5FAA"/>
    <w:rsid w:val="003C5F48"/>
    <w:rsid w:val="003D175A"/>
    <w:rsid w:val="003D373F"/>
    <w:rsid w:val="003E6F12"/>
    <w:rsid w:val="003F310A"/>
    <w:rsid w:val="00400E30"/>
    <w:rsid w:val="00404333"/>
    <w:rsid w:val="00416509"/>
    <w:rsid w:val="00431428"/>
    <w:rsid w:val="0043787B"/>
    <w:rsid w:val="0045041C"/>
    <w:rsid w:val="00495181"/>
    <w:rsid w:val="004B62B2"/>
    <w:rsid w:val="004C0114"/>
    <w:rsid w:val="004C1EF0"/>
    <w:rsid w:val="004D0428"/>
    <w:rsid w:val="004D1159"/>
    <w:rsid w:val="004E208F"/>
    <w:rsid w:val="004E50D9"/>
    <w:rsid w:val="004F020A"/>
    <w:rsid w:val="004F3727"/>
    <w:rsid w:val="004F771A"/>
    <w:rsid w:val="005061EC"/>
    <w:rsid w:val="005100AA"/>
    <w:rsid w:val="005143F5"/>
    <w:rsid w:val="00537A86"/>
    <w:rsid w:val="00537EDB"/>
    <w:rsid w:val="00540D73"/>
    <w:rsid w:val="0054153E"/>
    <w:rsid w:val="00546FA6"/>
    <w:rsid w:val="00547371"/>
    <w:rsid w:val="00550FDC"/>
    <w:rsid w:val="0055566A"/>
    <w:rsid w:val="0056135F"/>
    <w:rsid w:val="00561FCD"/>
    <w:rsid w:val="00566268"/>
    <w:rsid w:val="0057361C"/>
    <w:rsid w:val="00582394"/>
    <w:rsid w:val="0058493B"/>
    <w:rsid w:val="00587EB9"/>
    <w:rsid w:val="005A76C1"/>
    <w:rsid w:val="005B15E3"/>
    <w:rsid w:val="005D7520"/>
    <w:rsid w:val="005E616D"/>
    <w:rsid w:val="005F199B"/>
    <w:rsid w:val="0060643D"/>
    <w:rsid w:val="00617B3F"/>
    <w:rsid w:val="00620CB3"/>
    <w:rsid w:val="00674755"/>
    <w:rsid w:val="00681E21"/>
    <w:rsid w:val="00686D11"/>
    <w:rsid w:val="006B7EE9"/>
    <w:rsid w:val="006D1052"/>
    <w:rsid w:val="006D4EBC"/>
    <w:rsid w:val="006D76E2"/>
    <w:rsid w:val="006E06CD"/>
    <w:rsid w:val="006E160C"/>
    <w:rsid w:val="006F413C"/>
    <w:rsid w:val="0071126E"/>
    <w:rsid w:val="007165C0"/>
    <w:rsid w:val="00717456"/>
    <w:rsid w:val="00723CF9"/>
    <w:rsid w:val="007311CB"/>
    <w:rsid w:val="00735124"/>
    <w:rsid w:val="00735353"/>
    <w:rsid w:val="00737D3D"/>
    <w:rsid w:val="00742AA6"/>
    <w:rsid w:val="00744D64"/>
    <w:rsid w:val="00776851"/>
    <w:rsid w:val="00784543"/>
    <w:rsid w:val="00785A87"/>
    <w:rsid w:val="007A2B19"/>
    <w:rsid w:val="007A3E2B"/>
    <w:rsid w:val="007C410D"/>
    <w:rsid w:val="007C53BC"/>
    <w:rsid w:val="007C64D5"/>
    <w:rsid w:val="007D55D5"/>
    <w:rsid w:val="007E4423"/>
    <w:rsid w:val="007E7416"/>
    <w:rsid w:val="007F4535"/>
    <w:rsid w:val="007F7055"/>
    <w:rsid w:val="00814013"/>
    <w:rsid w:val="00817B1C"/>
    <w:rsid w:val="00833B9E"/>
    <w:rsid w:val="008524CF"/>
    <w:rsid w:val="00863E05"/>
    <w:rsid w:val="00871195"/>
    <w:rsid w:val="00886CE8"/>
    <w:rsid w:val="008A1C33"/>
    <w:rsid w:val="008D6C65"/>
    <w:rsid w:val="008F31A8"/>
    <w:rsid w:val="00900AE3"/>
    <w:rsid w:val="0091795F"/>
    <w:rsid w:val="00933954"/>
    <w:rsid w:val="0093510E"/>
    <w:rsid w:val="00936B8C"/>
    <w:rsid w:val="009575C8"/>
    <w:rsid w:val="00975CC8"/>
    <w:rsid w:val="009A094F"/>
    <w:rsid w:val="009A1F97"/>
    <w:rsid w:val="009A2635"/>
    <w:rsid w:val="009A4A2C"/>
    <w:rsid w:val="009B1EE9"/>
    <w:rsid w:val="009C108E"/>
    <w:rsid w:val="009C5137"/>
    <w:rsid w:val="009C69DC"/>
    <w:rsid w:val="009F0C05"/>
    <w:rsid w:val="009F36CA"/>
    <w:rsid w:val="009F43E7"/>
    <w:rsid w:val="00A00436"/>
    <w:rsid w:val="00A00925"/>
    <w:rsid w:val="00A16676"/>
    <w:rsid w:val="00A25F0C"/>
    <w:rsid w:val="00A3371E"/>
    <w:rsid w:val="00A339D1"/>
    <w:rsid w:val="00A46079"/>
    <w:rsid w:val="00A65B4C"/>
    <w:rsid w:val="00A72164"/>
    <w:rsid w:val="00A925F3"/>
    <w:rsid w:val="00A94CFE"/>
    <w:rsid w:val="00AD3EA6"/>
    <w:rsid w:val="00AE31C9"/>
    <w:rsid w:val="00AE5DD3"/>
    <w:rsid w:val="00AF33DF"/>
    <w:rsid w:val="00AF5C72"/>
    <w:rsid w:val="00B013DA"/>
    <w:rsid w:val="00B0240A"/>
    <w:rsid w:val="00B06C1E"/>
    <w:rsid w:val="00B21D8D"/>
    <w:rsid w:val="00B2308F"/>
    <w:rsid w:val="00B330F0"/>
    <w:rsid w:val="00B426E5"/>
    <w:rsid w:val="00B46478"/>
    <w:rsid w:val="00B50837"/>
    <w:rsid w:val="00B55856"/>
    <w:rsid w:val="00B725C6"/>
    <w:rsid w:val="00B7308A"/>
    <w:rsid w:val="00B74B53"/>
    <w:rsid w:val="00BA2F01"/>
    <w:rsid w:val="00BA3FBC"/>
    <w:rsid w:val="00BB127C"/>
    <w:rsid w:val="00BB60D2"/>
    <w:rsid w:val="00BC3295"/>
    <w:rsid w:val="00BC421D"/>
    <w:rsid w:val="00BC49F7"/>
    <w:rsid w:val="00BD0900"/>
    <w:rsid w:val="00BE0903"/>
    <w:rsid w:val="00C03097"/>
    <w:rsid w:val="00C23D0A"/>
    <w:rsid w:val="00C3126A"/>
    <w:rsid w:val="00C45F18"/>
    <w:rsid w:val="00C63973"/>
    <w:rsid w:val="00C656E8"/>
    <w:rsid w:val="00C70094"/>
    <w:rsid w:val="00C86A90"/>
    <w:rsid w:val="00C87754"/>
    <w:rsid w:val="00CA36A2"/>
    <w:rsid w:val="00CB0CDD"/>
    <w:rsid w:val="00CB24E3"/>
    <w:rsid w:val="00CD1153"/>
    <w:rsid w:val="00CE1446"/>
    <w:rsid w:val="00CE5AD1"/>
    <w:rsid w:val="00CF5BE7"/>
    <w:rsid w:val="00D12AFF"/>
    <w:rsid w:val="00D17A1E"/>
    <w:rsid w:val="00D229FE"/>
    <w:rsid w:val="00D26208"/>
    <w:rsid w:val="00D3032D"/>
    <w:rsid w:val="00D44CB9"/>
    <w:rsid w:val="00D46B3B"/>
    <w:rsid w:val="00D575B8"/>
    <w:rsid w:val="00D90A84"/>
    <w:rsid w:val="00D90D7E"/>
    <w:rsid w:val="00DA405C"/>
    <w:rsid w:val="00DA4DE7"/>
    <w:rsid w:val="00DA5878"/>
    <w:rsid w:val="00DB27CD"/>
    <w:rsid w:val="00DD11EF"/>
    <w:rsid w:val="00DE1C69"/>
    <w:rsid w:val="00DF44D5"/>
    <w:rsid w:val="00E2416D"/>
    <w:rsid w:val="00E3012B"/>
    <w:rsid w:val="00E35408"/>
    <w:rsid w:val="00E44CEB"/>
    <w:rsid w:val="00E6419E"/>
    <w:rsid w:val="00E64206"/>
    <w:rsid w:val="00E671C6"/>
    <w:rsid w:val="00E70EA7"/>
    <w:rsid w:val="00E9059C"/>
    <w:rsid w:val="00EA04ED"/>
    <w:rsid w:val="00EC198C"/>
    <w:rsid w:val="00EE0588"/>
    <w:rsid w:val="00EE53A7"/>
    <w:rsid w:val="00EF3EE2"/>
    <w:rsid w:val="00F106EC"/>
    <w:rsid w:val="00F1677B"/>
    <w:rsid w:val="00F21527"/>
    <w:rsid w:val="00F25906"/>
    <w:rsid w:val="00F25EBE"/>
    <w:rsid w:val="00F44410"/>
    <w:rsid w:val="00F476C2"/>
    <w:rsid w:val="00F5672C"/>
    <w:rsid w:val="00F61FE7"/>
    <w:rsid w:val="00F63DC5"/>
    <w:rsid w:val="00F7442E"/>
    <w:rsid w:val="00F765BE"/>
    <w:rsid w:val="00F822F7"/>
    <w:rsid w:val="00F84D97"/>
    <w:rsid w:val="00FB309A"/>
    <w:rsid w:val="00FB7147"/>
    <w:rsid w:val="00FC0131"/>
    <w:rsid w:val="00FD03C2"/>
    <w:rsid w:val="00FD2ABE"/>
    <w:rsid w:val="00FE7CE2"/>
    <w:rsid w:val="00FF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BB5DE"/>
  <w15:docId w15:val="{5A473E5E-A26D-42D8-BED1-AE83CD43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Prrafodelista">
    <w:name w:val="List Paragraph"/>
    <w:aliases w:val="numbered,Paragraphe de liste1,Bullet List,FooterText"/>
    <w:basedOn w:val="Normal"/>
    <w:link w:val="PrrafodelistaCar"/>
    <w:uiPriority w:val="34"/>
    <w:qFormat/>
    <w:rsid w:val="004348A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15796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E756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E7562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E7D4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E7D4F"/>
  </w:style>
  <w:style w:type="paragraph" w:styleId="Piedepgina">
    <w:name w:val="footer"/>
    <w:basedOn w:val="Normal"/>
    <w:link w:val="PiedepginaCar"/>
    <w:uiPriority w:val="99"/>
    <w:unhideWhenUsed/>
    <w:rsid w:val="003E7D4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E7D4F"/>
  </w:style>
  <w:style w:type="paragraph" w:styleId="NormalWeb">
    <w:name w:val="Normal (Web)"/>
    <w:basedOn w:val="Normal"/>
    <w:uiPriority w:val="99"/>
    <w:unhideWhenUsed/>
    <w:rsid w:val="001863F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GB"/>
    </w:rPr>
  </w:style>
  <w:style w:type="character" w:styleId="Textoennegrita">
    <w:name w:val="Strong"/>
    <w:basedOn w:val="Fuentedeprrafopredeter"/>
    <w:uiPriority w:val="22"/>
    <w:qFormat/>
    <w:rsid w:val="009368A3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647D6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647D6"/>
    <w:pPr>
      <w:spacing w:after="160"/>
    </w:pPr>
    <w:rPr>
      <w:rFonts w:asciiTheme="minorHAnsi" w:eastAsiaTheme="minorEastAsia" w:hAnsiTheme="minorHAnsi" w:cstheme="minorBidi"/>
      <w:sz w:val="20"/>
      <w:szCs w:val="20"/>
      <w:lang w:val="en-GB" w:eastAsia="zh-CN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647D6"/>
    <w:rPr>
      <w:rFonts w:asciiTheme="minorHAnsi" w:eastAsiaTheme="minorEastAsia" w:hAnsiTheme="minorHAnsi" w:cstheme="minorBidi"/>
      <w:sz w:val="20"/>
      <w:szCs w:val="20"/>
      <w:lang w:val="en-GB" w:eastAsia="zh-CN"/>
    </w:rPr>
  </w:style>
  <w:style w:type="character" w:customStyle="1" w:styleId="PrrafodelistaCar">
    <w:name w:val="Párrafo de lista Car"/>
    <w:aliases w:val="numbered Car,Paragraphe de liste1 Car,Bullet List Car,FooterText Car"/>
    <w:basedOn w:val="Fuentedeprrafopredeter"/>
    <w:link w:val="Prrafodelista"/>
    <w:uiPriority w:val="34"/>
    <w:locked/>
    <w:rsid w:val="005647D6"/>
  </w:style>
  <w:style w:type="character" w:customStyle="1" w:styleId="wordsection1Char">
    <w:name w:val="wordsection1 Char"/>
    <w:basedOn w:val="Fuentedeprrafopredeter"/>
    <w:link w:val="wordsection1"/>
    <w:uiPriority w:val="99"/>
    <w:locked/>
    <w:rsid w:val="005647D6"/>
    <w:rPr>
      <w:rFonts w:ascii="Calibri" w:hAnsi="Calibri" w:cs="Calibri"/>
    </w:rPr>
  </w:style>
  <w:style w:type="paragraph" w:customStyle="1" w:styleId="wordsection1">
    <w:name w:val="wordsection1"/>
    <w:basedOn w:val="Normal"/>
    <w:link w:val="wordsection1Char"/>
    <w:uiPriority w:val="99"/>
    <w:rsid w:val="005647D6"/>
    <w:rPr>
      <w:rFonts w:ascii="Calibri" w:hAnsi="Calibri" w:cs="Calibri"/>
    </w:rPr>
  </w:style>
  <w:style w:type="character" w:styleId="Refdecomentario">
    <w:name w:val="annotation reference"/>
    <w:basedOn w:val="Fuentedeprrafopredeter"/>
    <w:uiPriority w:val="99"/>
    <w:semiHidden/>
    <w:unhideWhenUsed/>
    <w:rsid w:val="005647D6"/>
    <w:rPr>
      <w:sz w:val="16"/>
      <w:szCs w:val="16"/>
    </w:rPr>
  </w:style>
  <w:style w:type="character" w:customStyle="1" w:styleId="normaltextrun">
    <w:name w:val="normaltextrun"/>
    <w:basedOn w:val="Fuentedeprrafopredeter"/>
    <w:rsid w:val="005647D6"/>
  </w:style>
  <w:style w:type="table" w:customStyle="1" w:styleId="a0">
    <w:basedOn w:val="TableNormal0"/>
    <w:tblPr>
      <w:tblStyleRowBandSize w:val="1"/>
      <w:tblStyleColBandSize w:val="1"/>
    </w:tblPr>
  </w:style>
  <w:style w:type="character" w:styleId="nfasis">
    <w:name w:val="Emphasis"/>
    <w:basedOn w:val="Fuentedeprrafopredeter"/>
    <w:uiPriority w:val="20"/>
    <w:qFormat/>
    <w:rsid w:val="000D63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5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2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7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9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598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0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1b9CkYT7isvakyPSsVLtQA2UCQ==">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711</Words>
  <Characters>3940</Characters>
  <Application>Microsoft Office Word</Application>
  <DocSecurity>0</DocSecurity>
  <Lines>65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>SERGAT</Company>
  <LinksUpToDate>false</LinksUpToDate>
  <CharactersWithSpaces>4644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Raquel</cp:lastModifiedBy>
  <cp:revision>4</cp:revision>
  <dcterms:created xsi:type="dcterms:W3CDTF">2026-09-17T16:23:00Z</dcterms:created>
  <dcterms:modified xsi:type="dcterms:W3CDTF">2026-09-17T16:37:00Z</dcterms:modified>
  <cp:category/>
</cp:coreProperties>
</file>