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42A894" w14:textId="77777777" w:rsidR="00C603A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374A05B7" w14:textId="77777777" w:rsidR="00C603A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2DCA100E" w14:textId="77777777" w:rsidR="00C603A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3BD6A302" w14:textId="77777777" w:rsidR="00C603A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343846DD" w14:textId="77777777" w:rsidR="00C603A2"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1"/>
        <w:tblW w:w="5775" w:type="dxa"/>
        <w:jc w:val="center"/>
        <w:tblInd w:w="0" w:type="dxa"/>
        <w:tblLayout w:type="fixed"/>
        <w:tblLook w:val="0400" w:firstRow="0" w:lastRow="0" w:firstColumn="0" w:lastColumn="0" w:noHBand="0" w:noVBand="1"/>
      </w:tblPr>
      <w:tblGrid>
        <w:gridCol w:w="5775"/>
      </w:tblGrid>
      <w:tr w:rsidR="00C603A2" w14:paraId="1201BBDB" w14:textId="77777777">
        <w:trPr>
          <w:jc w:val="center"/>
        </w:trPr>
        <w:tc>
          <w:tcPr>
            <w:tcW w:w="5775" w:type="dxa"/>
            <w:vAlign w:val="center"/>
          </w:tcPr>
          <w:p w14:paraId="6E035C88" w14:textId="77777777" w:rsidR="00C603A2" w:rsidRDefault="00C603A2">
            <w:pPr>
              <w:jc w:val="center"/>
              <w:rPr>
                <w:sz w:val="20"/>
                <w:szCs w:val="20"/>
              </w:rPr>
            </w:pPr>
          </w:p>
        </w:tc>
      </w:tr>
    </w:tbl>
    <w:p w14:paraId="679069FE" w14:textId="77777777" w:rsidR="00C603A2" w:rsidRDefault="00000000">
      <w:pPr>
        <w:pBdr>
          <w:top w:val="nil"/>
          <w:left w:val="nil"/>
          <w:bottom w:val="nil"/>
          <w:right w:val="nil"/>
          <w:between w:val="nil"/>
        </w:pBdr>
        <w:spacing w:before="280" w:line="360" w:lineRule="auto"/>
        <w:jc w:val="center"/>
        <w:rPr>
          <w:rFonts w:ascii="Century Gothic" w:eastAsia="Century Gothic" w:hAnsi="Century Gothic" w:cs="Century Gothic"/>
          <w:b/>
          <w:bCs/>
        </w:rPr>
      </w:pPr>
      <w:r>
        <w:rPr>
          <w:rFonts w:ascii="Century Gothic" w:eastAsia="Century Gothic" w:hAnsi="Century Gothic" w:cs="Century Gothic"/>
          <w:b/>
          <w:bCs/>
        </w:rPr>
        <w:t xml:space="preserve">Stellar Wine Cellar: Emirates ofrecerá una selección excepcional de </w:t>
      </w:r>
      <w:proofErr w:type="spellStart"/>
      <w:r>
        <w:rPr>
          <w:rFonts w:ascii="Century Gothic" w:eastAsia="Century Gothic" w:hAnsi="Century Gothic" w:cs="Century Gothic"/>
          <w:b/>
          <w:bCs/>
          <w:i/>
          <w:iCs/>
        </w:rPr>
        <w:t>champagnes</w:t>
      </w:r>
      <w:proofErr w:type="spellEnd"/>
      <w:r>
        <w:rPr>
          <w:rFonts w:ascii="Century Gothic" w:eastAsia="Century Gothic" w:hAnsi="Century Gothic" w:cs="Century Gothic"/>
          <w:b/>
          <w:bCs/>
        </w:rPr>
        <w:t xml:space="preserve"> y grandes vinos a bordo en 2026</w:t>
      </w:r>
    </w:p>
    <w:p w14:paraId="2A3F2046" w14:textId="2D468F59"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Dubái,</w:t>
      </w:r>
      <w:r>
        <w:t xml:space="preserve"> </w:t>
      </w:r>
      <w:r>
        <w:rPr>
          <w:rFonts w:ascii="Century Gothic" w:eastAsia="Century Gothic" w:hAnsi="Century Gothic" w:cs="Century Gothic"/>
          <w:b/>
          <w:bCs/>
          <w:sz w:val="22"/>
          <w:szCs w:val="22"/>
        </w:rPr>
        <w:t xml:space="preserve">EAU, </w:t>
      </w:r>
      <w:r w:rsidR="00CE494F">
        <w:rPr>
          <w:rFonts w:ascii="Century Gothic" w:eastAsia="Century Gothic" w:hAnsi="Century Gothic" w:cs="Century Gothic"/>
          <w:b/>
          <w:bCs/>
          <w:sz w:val="22"/>
          <w:szCs w:val="22"/>
        </w:rPr>
        <w:t>3</w:t>
      </w:r>
      <w:r>
        <w:rPr>
          <w:rFonts w:ascii="Century Gothic" w:eastAsia="Century Gothic" w:hAnsi="Century Gothic" w:cs="Century Gothic"/>
          <w:b/>
          <w:bCs/>
          <w:sz w:val="22"/>
          <w:szCs w:val="22"/>
        </w:rPr>
        <w:t xml:space="preserve"> de septiembre de 2026: </w:t>
      </w:r>
      <w:r>
        <w:rPr>
          <w:rFonts w:ascii="Century Gothic" w:eastAsia="Century Gothic" w:hAnsi="Century Gothic" w:cs="Century Gothic"/>
          <w:sz w:val="22"/>
          <w:szCs w:val="22"/>
        </w:rPr>
        <w:t xml:space="preserve">Emirates incorporará durante los próximos meses una nueva selección de </w:t>
      </w:r>
      <w:proofErr w:type="spellStart"/>
      <w:r>
        <w:rPr>
          <w:rFonts w:ascii="Century Gothic" w:eastAsia="Century Gothic" w:hAnsi="Century Gothic" w:cs="Century Gothic"/>
          <w:i/>
          <w:iCs/>
          <w:sz w:val="22"/>
          <w:szCs w:val="22"/>
        </w:rPr>
        <w:t>champagnes</w:t>
      </w:r>
      <w:proofErr w:type="spellEnd"/>
      <w:r>
        <w:rPr>
          <w:rFonts w:ascii="Century Gothic" w:eastAsia="Century Gothic" w:hAnsi="Century Gothic" w:cs="Century Gothic"/>
          <w:sz w:val="22"/>
          <w:szCs w:val="22"/>
        </w:rPr>
        <w:t xml:space="preserve"> y grandes vinos a su red global, ofreciendo a los clientes de todas las cabinas la oportunidad de disfrutar de una de las bodegas de vino a bordo más extensas del mundo. Desde Dom </w:t>
      </w:r>
      <w:proofErr w:type="spellStart"/>
      <w:r>
        <w:rPr>
          <w:rFonts w:ascii="Century Gothic" w:eastAsia="Century Gothic" w:hAnsi="Century Gothic" w:cs="Century Gothic"/>
          <w:sz w:val="22"/>
          <w:szCs w:val="22"/>
        </w:rPr>
        <w:t>Pérignon</w:t>
      </w:r>
      <w:proofErr w:type="spellEnd"/>
      <w:r>
        <w:rPr>
          <w:rFonts w:ascii="Century Gothic" w:eastAsia="Century Gothic" w:hAnsi="Century Gothic" w:cs="Century Gothic"/>
          <w:sz w:val="22"/>
          <w:szCs w:val="22"/>
        </w:rPr>
        <w:t xml:space="preserve"> Vintage 2017 y Château Mouton Rothschild 2003 en </w:t>
      </w:r>
      <w:r>
        <w:rPr>
          <w:rFonts w:ascii="Century Gothic" w:eastAsia="Century Gothic" w:hAnsi="Century Gothic" w:cs="Century Gothic"/>
          <w:i/>
          <w:iCs/>
          <w:sz w:val="22"/>
          <w:szCs w:val="22"/>
        </w:rPr>
        <w:t>First Class</w:t>
      </w:r>
      <w:r>
        <w:rPr>
          <w:rFonts w:ascii="Century Gothic" w:eastAsia="Century Gothic" w:hAnsi="Century Gothic" w:cs="Century Gothic"/>
          <w:sz w:val="22"/>
          <w:szCs w:val="22"/>
        </w:rPr>
        <w:t xml:space="preserve"> hasta </w:t>
      </w:r>
      <w:proofErr w:type="spellStart"/>
      <w:r>
        <w:rPr>
          <w:rFonts w:ascii="Century Gothic" w:eastAsia="Century Gothic" w:hAnsi="Century Gothic" w:cs="Century Gothic"/>
          <w:sz w:val="22"/>
          <w:szCs w:val="22"/>
        </w:rPr>
        <w:t>Wiston</w:t>
      </w:r>
      <w:proofErr w:type="spellEnd"/>
      <w:r>
        <w:rPr>
          <w:rFonts w:ascii="Century Gothic" w:eastAsia="Century Gothic" w:hAnsi="Century Gothic" w:cs="Century Gothic"/>
          <w:sz w:val="22"/>
          <w:szCs w:val="22"/>
        </w:rPr>
        <w:t xml:space="preserve"> Estate </w:t>
      </w:r>
      <w:proofErr w:type="spellStart"/>
      <w:r>
        <w:rPr>
          <w:rFonts w:ascii="Century Gothic" w:eastAsia="Century Gothic" w:hAnsi="Century Gothic" w:cs="Century Gothic"/>
          <w:sz w:val="22"/>
          <w:szCs w:val="22"/>
        </w:rPr>
        <w:t>Brut</w:t>
      </w:r>
      <w:proofErr w:type="spellEnd"/>
      <w:r>
        <w:rPr>
          <w:rFonts w:ascii="Century Gothic" w:eastAsia="Century Gothic" w:hAnsi="Century Gothic" w:cs="Century Gothic"/>
          <w:sz w:val="22"/>
          <w:szCs w:val="22"/>
        </w:rPr>
        <w:t xml:space="preserve"> NV, el primer espumoso inglés de Emirates, en </w:t>
      </w:r>
      <w:r>
        <w:rPr>
          <w:rFonts w:ascii="Century Gothic" w:eastAsia="Century Gothic" w:hAnsi="Century Gothic" w:cs="Century Gothic"/>
          <w:i/>
          <w:iCs/>
          <w:sz w:val="22"/>
          <w:szCs w:val="22"/>
        </w:rPr>
        <w:t>Premium Economy</w:t>
      </w:r>
      <w:r>
        <w:rPr>
          <w:rFonts w:ascii="Century Gothic" w:eastAsia="Century Gothic" w:hAnsi="Century Gothic" w:cs="Century Gothic"/>
          <w:sz w:val="22"/>
          <w:szCs w:val="22"/>
        </w:rPr>
        <w:t>, la nueva colección abarca algunos de los viñedos más prestigiosos de Francia, Australia, Chile, Sudáfrica y Reino Unido.</w:t>
      </w:r>
    </w:p>
    <w:p w14:paraId="52C5DF97"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Desde 2006, Emirates ha invertido más de 1.000 millones de USD en su programa de vinos, construyendo una bodega que actualmente alberga unos cinco millones de botellas, almacenadas en instalaciones especializadas en Francia. Muchos vinos se adquieren años antes y se dejan madurar cuidadosamente hasta alcanzar su momento óptimo de consumo, antes de incorporarse a bordo para que los clientes puedan disfrutarlos en su máximo esplendor. Dado que la mayoría de estos vinos se adquieren en pequeñas partidas y mediante asignaciones limitadas, los clientes de Emirates tienen la oportunidad de descubrir añadas poco comunes y muy buscadas que no están disponibles fácilmente en otros lugares.</w:t>
      </w:r>
    </w:p>
    <w:p w14:paraId="0C1F8C9C"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i/>
          <w:iCs/>
          <w:sz w:val="22"/>
          <w:szCs w:val="22"/>
        </w:rPr>
        <w:t>First Class</w:t>
      </w:r>
      <w:r>
        <w:rPr>
          <w:rFonts w:ascii="Century Gothic" w:eastAsia="Century Gothic" w:hAnsi="Century Gothic" w:cs="Century Gothic"/>
          <w:b/>
          <w:bCs/>
          <w:sz w:val="22"/>
          <w:szCs w:val="22"/>
        </w:rPr>
        <w:t>: iconos del mundo del vino</w:t>
      </w:r>
    </w:p>
    <w:p w14:paraId="3161ED9A"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cerrar el año por todo lo alto, Emirates prevé incorporar Dom </w:t>
      </w:r>
      <w:proofErr w:type="spellStart"/>
      <w:r>
        <w:rPr>
          <w:rFonts w:ascii="Century Gothic" w:eastAsia="Century Gothic" w:hAnsi="Century Gothic" w:cs="Century Gothic"/>
          <w:sz w:val="22"/>
          <w:szCs w:val="22"/>
        </w:rPr>
        <w:t>Pérignon</w:t>
      </w:r>
      <w:proofErr w:type="spellEnd"/>
      <w:r>
        <w:rPr>
          <w:rFonts w:ascii="Century Gothic" w:eastAsia="Century Gothic" w:hAnsi="Century Gothic" w:cs="Century Gothic"/>
          <w:sz w:val="22"/>
          <w:szCs w:val="22"/>
        </w:rPr>
        <w:t xml:space="preserve"> Vintage 2017 en </w:t>
      </w:r>
      <w:r>
        <w:rPr>
          <w:rFonts w:ascii="Century Gothic" w:eastAsia="Century Gothic" w:hAnsi="Century Gothic" w:cs="Century Gothic"/>
          <w:i/>
          <w:iCs/>
          <w:sz w:val="22"/>
          <w:szCs w:val="22"/>
        </w:rPr>
        <w:t>First Class</w:t>
      </w:r>
      <w:r>
        <w:rPr>
          <w:rFonts w:ascii="Century Gothic" w:eastAsia="Century Gothic" w:hAnsi="Century Gothic" w:cs="Century Gothic"/>
          <w:sz w:val="22"/>
          <w:szCs w:val="22"/>
        </w:rPr>
        <w:t xml:space="preserve"> en toda su red global, la última expresión de la emblemática </w:t>
      </w:r>
      <w:proofErr w:type="spellStart"/>
      <w:r>
        <w:rPr>
          <w:rFonts w:ascii="Century Gothic" w:eastAsia="Century Gothic" w:hAnsi="Century Gothic" w:cs="Century Gothic"/>
          <w:i/>
          <w:iCs/>
          <w:sz w:val="22"/>
          <w:szCs w:val="22"/>
        </w:rPr>
        <w:t>cuvée</w:t>
      </w:r>
      <w:proofErr w:type="spellEnd"/>
      <w:r>
        <w:rPr>
          <w:rFonts w:ascii="Century Gothic" w:eastAsia="Century Gothic" w:hAnsi="Century Gothic" w:cs="Century Gothic"/>
          <w:sz w:val="22"/>
          <w:szCs w:val="22"/>
        </w:rPr>
        <w:t xml:space="preserve"> de prestigio de la </w:t>
      </w:r>
      <w:proofErr w:type="spellStart"/>
      <w:r>
        <w:rPr>
          <w:rFonts w:ascii="Century Gothic" w:eastAsia="Century Gothic" w:hAnsi="Century Gothic" w:cs="Century Gothic"/>
          <w:i/>
          <w:iCs/>
          <w:sz w:val="22"/>
          <w:szCs w:val="22"/>
        </w:rPr>
        <w:t>maison</w:t>
      </w:r>
      <w:proofErr w:type="spellEnd"/>
      <w:r>
        <w:rPr>
          <w:rFonts w:ascii="Century Gothic" w:eastAsia="Century Gothic" w:hAnsi="Century Gothic" w:cs="Century Gothic"/>
          <w:sz w:val="22"/>
          <w:szCs w:val="22"/>
        </w:rPr>
        <w:t xml:space="preserve">. Nacido de un año de grandes contrastes en la región de </w:t>
      </w:r>
      <w:r>
        <w:rPr>
          <w:rFonts w:ascii="Century Gothic" w:eastAsia="Century Gothic" w:hAnsi="Century Gothic" w:cs="Century Gothic"/>
          <w:sz w:val="22"/>
          <w:szCs w:val="22"/>
        </w:rPr>
        <w:lastRenderedPageBreak/>
        <w:t xml:space="preserve">Champagne, Dom </w:t>
      </w:r>
      <w:proofErr w:type="spellStart"/>
      <w:r>
        <w:rPr>
          <w:rFonts w:ascii="Century Gothic" w:eastAsia="Century Gothic" w:hAnsi="Century Gothic" w:cs="Century Gothic"/>
          <w:sz w:val="22"/>
          <w:szCs w:val="22"/>
        </w:rPr>
        <w:t>Pérignon</w:t>
      </w:r>
      <w:proofErr w:type="spellEnd"/>
      <w:r>
        <w:rPr>
          <w:rFonts w:ascii="Century Gothic" w:eastAsia="Century Gothic" w:hAnsi="Century Gothic" w:cs="Century Gothic"/>
          <w:sz w:val="22"/>
          <w:szCs w:val="22"/>
        </w:rPr>
        <w:t xml:space="preserve"> Vintage 2017 combina riqueza y frescura. En nariz destacan las notas de piedra mojada, jazmín y cítricos confitados, mientras que en boca la riqueza se equilibra con frescura, precisión y un elegante carácter mineral.</w:t>
      </w:r>
    </w:p>
    <w:p w14:paraId="14E4F7E0"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Actualmente disponible en </w:t>
      </w:r>
      <w:r>
        <w:rPr>
          <w:rFonts w:ascii="Century Gothic" w:eastAsia="Century Gothic" w:hAnsi="Century Gothic" w:cs="Century Gothic"/>
          <w:i/>
          <w:iCs/>
          <w:sz w:val="22"/>
          <w:szCs w:val="22"/>
        </w:rPr>
        <w:t>First Class</w:t>
      </w:r>
      <w:r>
        <w:rPr>
          <w:rFonts w:ascii="Century Gothic" w:eastAsia="Century Gothic" w:hAnsi="Century Gothic" w:cs="Century Gothic"/>
          <w:sz w:val="22"/>
          <w:szCs w:val="22"/>
        </w:rPr>
        <w:t xml:space="preserve"> en las rutas hacia África, Chevalier-</w:t>
      </w:r>
      <w:proofErr w:type="spellStart"/>
      <w:r>
        <w:rPr>
          <w:rFonts w:ascii="Century Gothic" w:eastAsia="Century Gothic" w:hAnsi="Century Gothic" w:cs="Century Gothic"/>
          <w:sz w:val="22"/>
          <w:szCs w:val="22"/>
        </w:rPr>
        <w:t>Montrachet</w:t>
      </w:r>
      <w:proofErr w:type="spellEnd"/>
      <w:r>
        <w:rPr>
          <w:rFonts w:ascii="Century Gothic" w:eastAsia="Century Gothic" w:hAnsi="Century Gothic" w:cs="Century Gothic"/>
          <w:sz w:val="22"/>
          <w:szCs w:val="22"/>
        </w:rPr>
        <w:t xml:space="preserve"> Grand Cru 2015 de Bouchard Père &amp; Fils procede de uno de los </w:t>
      </w:r>
      <w:proofErr w:type="spellStart"/>
      <w:r>
        <w:rPr>
          <w:rFonts w:ascii="Century Gothic" w:eastAsia="Century Gothic" w:hAnsi="Century Gothic" w:cs="Century Gothic"/>
          <w:i/>
          <w:iCs/>
          <w:sz w:val="22"/>
          <w:szCs w:val="22"/>
        </w:rPr>
        <w:t>terroirs</w:t>
      </w:r>
      <w:proofErr w:type="spellEnd"/>
      <w:r>
        <w:rPr>
          <w:rFonts w:ascii="Century Gothic" w:eastAsia="Century Gothic" w:hAnsi="Century Gothic" w:cs="Century Gothic"/>
          <w:sz w:val="22"/>
          <w:szCs w:val="22"/>
        </w:rPr>
        <w:t xml:space="preserve"> legendarios de Chardonnay de </w:t>
      </w:r>
      <w:proofErr w:type="spellStart"/>
      <w:r>
        <w:rPr>
          <w:rFonts w:ascii="Century Gothic" w:eastAsia="Century Gothic" w:hAnsi="Century Gothic" w:cs="Century Gothic"/>
          <w:sz w:val="22"/>
          <w:szCs w:val="22"/>
        </w:rPr>
        <w:t>Puligny-Montrachet</w:t>
      </w:r>
      <w:proofErr w:type="spellEnd"/>
      <w:r>
        <w:rPr>
          <w:rFonts w:ascii="Century Gothic" w:eastAsia="Century Gothic" w:hAnsi="Century Gothic" w:cs="Century Gothic"/>
          <w:sz w:val="22"/>
          <w:szCs w:val="22"/>
        </w:rPr>
        <w:t>, conocido por su potencia, precisión y extraordinaria tensión mineral. Al tratarse de una denominación excepcionalmente pequeña y de una producción limitada de Grand Cru de Borgoña, su disponibilidad es muy reducida. La generosa añada 2015 revela notas de cítricos maduros, melocotón blanco, especias sutiles y delicados matices tostados, junto con una frescura y una persistencia extraordinarias.</w:t>
      </w:r>
    </w:p>
    <w:p w14:paraId="2F06186E"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Actualmente servido en</w:t>
      </w:r>
      <w:r>
        <w:rPr>
          <w:rFonts w:ascii="Century Gothic" w:eastAsia="Century Gothic" w:hAnsi="Century Gothic" w:cs="Century Gothic"/>
          <w:i/>
          <w:iCs/>
          <w:sz w:val="22"/>
          <w:szCs w:val="22"/>
        </w:rPr>
        <w:t xml:space="preserve"> First Class</w:t>
      </w:r>
      <w:r>
        <w:rPr>
          <w:rFonts w:ascii="Century Gothic" w:eastAsia="Century Gothic" w:hAnsi="Century Gothic" w:cs="Century Gothic"/>
          <w:sz w:val="22"/>
          <w:szCs w:val="22"/>
        </w:rPr>
        <w:t xml:space="preserve"> en las rutas europeas, Le Petit Cheval Blanc 2023 de Château Cheval Blanc es un raro vino blanco procedente de una de las bodegas más prestigiosas de Burdeos. Elaborado principalmente con Sauvignon Blanc y complementado con </w:t>
      </w:r>
      <w:proofErr w:type="spellStart"/>
      <w:r>
        <w:rPr>
          <w:rFonts w:ascii="Century Gothic" w:eastAsia="Century Gothic" w:hAnsi="Century Gothic" w:cs="Century Gothic"/>
          <w:sz w:val="22"/>
          <w:szCs w:val="22"/>
        </w:rPr>
        <w:t>Sémillon</w:t>
      </w:r>
      <w:proofErr w:type="spellEnd"/>
      <w:r>
        <w:rPr>
          <w:rFonts w:ascii="Century Gothic" w:eastAsia="Century Gothic" w:hAnsi="Century Gothic" w:cs="Century Gothic"/>
          <w:sz w:val="22"/>
          <w:szCs w:val="22"/>
        </w:rPr>
        <w:t xml:space="preserve">, la añada 2023 combina precisión aromática y frescura, con notas de cítricos, flores blancas, pomelo y una sutil tensión mineral. Aunque Château Cheval Blanc es mundialmente conocido por su legendario vino tinto, su </w:t>
      </w:r>
      <w:proofErr w:type="spellStart"/>
      <w:r>
        <w:rPr>
          <w:rFonts w:ascii="Century Gothic" w:eastAsia="Century Gothic" w:hAnsi="Century Gothic" w:cs="Century Gothic"/>
          <w:i/>
          <w:iCs/>
          <w:sz w:val="22"/>
          <w:szCs w:val="22"/>
        </w:rPr>
        <w:t>cuvée</w:t>
      </w:r>
      <w:proofErr w:type="spellEnd"/>
      <w:r>
        <w:rPr>
          <w:rFonts w:ascii="Century Gothic" w:eastAsia="Century Gothic" w:hAnsi="Century Gothic" w:cs="Century Gothic"/>
          <w:sz w:val="22"/>
          <w:szCs w:val="22"/>
        </w:rPr>
        <w:t xml:space="preserve"> blanca de producción limitada es una expresión singular y muy apreciada de la bodega.</w:t>
      </w:r>
    </w:p>
    <w:p w14:paraId="17E3F573"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clientes de </w:t>
      </w:r>
      <w:r>
        <w:rPr>
          <w:rFonts w:ascii="Century Gothic" w:eastAsia="Century Gothic" w:hAnsi="Century Gothic" w:cs="Century Gothic"/>
          <w:i/>
          <w:iCs/>
          <w:sz w:val="22"/>
          <w:szCs w:val="22"/>
        </w:rPr>
        <w:t xml:space="preserve">First Class </w:t>
      </w:r>
      <w:r>
        <w:rPr>
          <w:rFonts w:ascii="Century Gothic" w:eastAsia="Century Gothic" w:hAnsi="Century Gothic" w:cs="Century Gothic"/>
          <w:sz w:val="22"/>
          <w:szCs w:val="22"/>
        </w:rPr>
        <w:t xml:space="preserve">que viajen hacia Asia Oriental pueden descubrir actualmente Seña 2016, uno de los vinos más emblemáticos de Chile y un referente entre los </w:t>
      </w:r>
      <w:proofErr w:type="spellStart"/>
      <w:r>
        <w:rPr>
          <w:rFonts w:ascii="Century Gothic" w:eastAsia="Century Gothic" w:hAnsi="Century Gothic" w:cs="Century Gothic"/>
          <w:i/>
          <w:iCs/>
          <w:sz w:val="22"/>
          <w:szCs w:val="22"/>
        </w:rPr>
        <w:t>blends</w:t>
      </w:r>
      <w:proofErr w:type="spellEnd"/>
      <w:r>
        <w:rPr>
          <w:rFonts w:ascii="Century Gothic" w:eastAsia="Century Gothic" w:hAnsi="Century Gothic" w:cs="Century Gothic"/>
          <w:i/>
          <w:iCs/>
          <w:sz w:val="22"/>
          <w:szCs w:val="22"/>
        </w:rPr>
        <w:t xml:space="preserve"> premium</w:t>
      </w:r>
      <w:r>
        <w:rPr>
          <w:rFonts w:ascii="Century Gothic" w:eastAsia="Century Gothic" w:hAnsi="Century Gothic" w:cs="Century Gothic"/>
          <w:sz w:val="22"/>
          <w:szCs w:val="22"/>
        </w:rPr>
        <w:t xml:space="preserve"> dominados por Cabernet Sauvignon del valle de Aconcagua. Seña demuestra la capacidad de Chile para elaborar vinos de elegancia, profundidad y gran potencial de guarda. La añada 2016 presenta aromas de fruta negra, violeta, tabaco y cedro, con taninos finos y un final largo y complejo.</w:t>
      </w:r>
    </w:p>
    <w:p w14:paraId="1F4C0D2D"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partir de finales de septiembre, los clientes de </w:t>
      </w:r>
      <w:r>
        <w:rPr>
          <w:rFonts w:ascii="Century Gothic" w:eastAsia="Century Gothic" w:hAnsi="Century Gothic" w:cs="Century Gothic"/>
          <w:i/>
          <w:iCs/>
          <w:sz w:val="22"/>
          <w:szCs w:val="22"/>
        </w:rPr>
        <w:t>First Class</w:t>
      </w:r>
      <w:r>
        <w:rPr>
          <w:rFonts w:ascii="Century Gothic" w:eastAsia="Century Gothic" w:hAnsi="Century Gothic" w:cs="Century Gothic"/>
          <w:sz w:val="22"/>
          <w:szCs w:val="22"/>
        </w:rPr>
        <w:t xml:space="preserve"> que viajen a Australasia disfrutarán de </w:t>
      </w:r>
      <w:proofErr w:type="spellStart"/>
      <w:r>
        <w:rPr>
          <w:rFonts w:ascii="Century Gothic" w:eastAsia="Century Gothic" w:hAnsi="Century Gothic" w:cs="Century Gothic"/>
          <w:sz w:val="22"/>
          <w:szCs w:val="22"/>
        </w:rPr>
        <w:t>Penfolds</w:t>
      </w:r>
      <w:proofErr w:type="spellEnd"/>
      <w:r>
        <w:rPr>
          <w:rFonts w:ascii="Century Gothic" w:eastAsia="Century Gothic" w:hAnsi="Century Gothic" w:cs="Century Gothic"/>
          <w:sz w:val="22"/>
          <w:szCs w:val="22"/>
        </w:rPr>
        <w:t xml:space="preserve"> RWT Shiraz 2015, una de las grandes expresiones de Shiraz del valle de </w:t>
      </w:r>
      <w:proofErr w:type="spellStart"/>
      <w:r>
        <w:rPr>
          <w:rFonts w:ascii="Century Gothic" w:eastAsia="Century Gothic" w:hAnsi="Century Gothic" w:cs="Century Gothic"/>
          <w:sz w:val="22"/>
          <w:szCs w:val="22"/>
        </w:rPr>
        <w:t>Barossa</w:t>
      </w:r>
      <w:proofErr w:type="spellEnd"/>
      <w:r>
        <w:rPr>
          <w:rFonts w:ascii="Century Gothic" w:eastAsia="Century Gothic" w:hAnsi="Century Gothic" w:cs="Century Gothic"/>
          <w:sz w:val="22"/>
          <w:szCs w:val="22"/>
        </w:rPr>
        <w:t xml:space="preserve">. Sus intensos aromas de fruta oscura, regaliz, moka y especias se complementan con sutiles notas salinas. En boca, sus taninos pulidos aportan estructura </w:t>
      </w:r>
      <w:r>
        <w:rPr>
          <w:rFonts w:ascii="Century Gothic" w:eastAsia="Century Gothic" w:hAnsi="Century Gothic" w:cs="Century Gothic"/>
          <w:sz w:val="22"/>
          <w:szCs w:val="22"/>
        </w:rPr>
        <w:lastRenderedPageBreak/>
        <w:t>y conducen a un final largo y complejo. Con alrededor de una década de maduración, el vino muestra una notable profundidad y complejidad.</w:t>
      </w:r>
    </w:p>
    <w:p w14:paraId="43A24D5E"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partir de octubre, Emirates servirá Château Mouton Rothschild 2003 en </w:t>
      </w:r>
      <w:r>
        <w:rPr>
          <w:rFonts w:ascii="Century Gothic" w:eastAsia="Century Gothic" w:hAnsi="Century Gothic" w:cs="Century Gothic"/>
          <w:i/>
          <w:iCs/>
          <w:sz w:val="22"/>
          <w:szCs w:val="22"/>
        </w:rPr>
        <w:t>First Class</w:t>
      </w:r>
      <w:r>
        <w:rPr>
          <w:rFonts w:ascii="Century Gothic" w:eastAsia="Century Gothic" w:hAnsi="Century Gothic" w:cs="Century Gothic"/>
          <w:sz w:val="22"/>
          <w:szCs w:val="22"/>
        </w:rPr>
        <w:t xml:space="preserve"> en las rutas hacia Reino Unido, brindando a los clientes una oportunidad excepcional de disfrutar de un </w:t>
      </w:r>
      <w:r>
        <w:rPr>
          <w:rFonts w:ascii="Century Gothic" w:eastAsia="Century Gothic" w:hAnsi="Century Gothic" w:cs="Century Gothic"/>
          <w:i/>
          <w:iCs/>
          <w:sz w:val="22"/>
          <w:szCs w:val="22"/>
        </w:rPr>
        <w:t xml:space="preserve">First </w:t>
      </w:r>
      <w:proofErr w:type="spellStart"/>
      <w:r>
        <w:rPr>
          <w:rFonts w:ascii="Century Gothic" w:eastAsia="Century Gothic" w:hAnsi="Century Gothic" w:cs="Century Gothic"/>
          <w:i/>
          <w:iCs/>
          <w:sz w:val="22"/>
          <w:szCs w:val="22"/>
        </w:rPr>
        <w:t>Growth</w:t>
      </w:r>
      <w:proofErr w:type="spellEnd"/>
      <w:r>
        <w:rPr>
          <w:rFonts w:ascii="Century Gothic" w:eastAsia="Century Gothic" w:hAnsi="Century Gothic" w:cs="Century Gothic"/>
          <w:sz w:val="22"/>
          <w:szCs w:val="22"/>
        </w:rPr>
        <w:t xml:space="preserve"> de Burdeos maduro, con más de 20 años de evolución. Uno de los grandes nombres de </w:t>
      </w:r>
      <w:proofErr w:type="spellStart"/>
      <w:r>
        <w:rPr>
          <w:rFonts w:ascii="Century Gothic" w:eastAsia="Century Gothic" w:hAnsi="Century Gothic" w:cs="Century Gothic"/>
          <w:sz w:val="22"/>
          <w:szCs w:val="22"/>
        </w:rPr>
        <w:t>Pauillac</w:t>
      </w:r>
      <w:proofErr w:type="spellEnd"/>
      <w:r>
        <w:rPr>
          <w:rFonts w:ascii="Century Gothic" w:eastAsia="Century Gothic" w:hAnsi="Century Gothic" w:cs="Century Gothic"/>
          <w:sz w:val="22"/>
          <w:szCs w:val="22"/>
        </w:rPr>
        <w:t xml:space="preserve"> y reconocido como </w:t>
      </w:r>
      <w:r>
        <w:rPr>
          <w:rFonts w:ascii="Century Gothic" w:eastAsia="Century Gothic" w:hAnsi="Century Gothic" w:cs="Century Gothic"/>
          <w:i/>
          <w:iCs/>
          <w:sz w:val="22"/>
          <w:szCs w:val="22"/>
        </w:rPr>
        <w:t>Premier Cru</w:t>
      </w:r>
      <w:r>
        <w:rPr>
          <w:rFonts w:ascii="Century Gothic" w:eastAsia="Century Gothic" w:hAnsi="Century Gothic" w:cs="Century Gothic"/>
          <w:sz w:val="22"/>
          <w:szCs w:val="22"/>
        </w:rPr>
        <w:t xml:space="preserve"> en la histórica Clasificación de 1855, el vino combina intensos sabores de grosella negra, mora y ciruela con notas de cedro, tabaco y especias cálidas. Sus taninos maduros y su largo y estructurado final contribuyen a su profundidad y complejidad.</w:t>
      </w:r>
    </w:p>
    <w:p w14:paraId="447ED6B4"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partir de diciembre, en determinadas rutas de </w:t>
      </w:r>
      <w:r>
        <w:rPr>
          <w:rFonts w:ascii="Century Gothic" w:eastAsia="Century Gothic" w:hAnsi="Century Gothic" w:cs="Century Gothic"/>
          <w:i/>
          <w:iCs/>
          <w:sz w:val="22"/>
          <w:szCs w:val="22"/>
        </w:rPr>
        <w:t>First Class</w:t>
      </w:r>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Vilafonté</w:t>
      </w:r>
      <w:proofErr w:type="spellEnd"/>
      <w:r>
        <w:rPr>
          <w:rFonts w:ascii="Century Gothic" w:eastAsia="Century Gothic" w:hAnsi="Century Gothic" w:cs="Century Gothic"/>
          <w:sz w:val="22"/>
          <w:szCs w:val="22"/>
        </w:rPr>
        <w:t xml:space="preserve"> Series C 2016 pondrá de relieve uno de los grandes vinos de Sudáfrica. Este </w:t>
      </w:r>
      <w:proofErr w:type="spellStart"/>
      <w:r>
        <w:rPr>
          <w:rFonts w:ascii="Century Gothic" w:eastAsia="Century Gothic" w:hAnsi="Century Gothic" w:cs="Century Gothic"/>
          <w:i/>
          <w:iCs/>
          <w:sz w:val="22"/>
          <w:szCs w:val="22"/>
        </w:rPr>
        <w:t>blend</w:t>
      </w:r>
      <w:proofErr w:type="spellEnd"/>
      <w:r>
        <w:rPr>
          <w:rFonts w:ascii="Century Gothic" w:eastAsia="Century Gothic" w:hAnsi="Century Gothic" w:cs="Century Gothic"/>
          <w:sz w:val="22"/>
          <w:szCs w:val="22"/>
        </w:rPr>
        <w:t xml:space="preserve"> de estilo bordelés, elaborado principalmente con Cabernet Sauvignon, combina fruta negra, cedro y especias con taninos pulidos y un final largo y refinado.</w:t>
      </w:r>
    </w:p>
    <w:p w14:paraId="50FFA323"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i/>
          <w:iCs/>
          <w:sz w:val="22"/>
          <w:szCs w:val="22"/>
        </w:rPr>
        <w:t>Business Class</w:t>
      </w:r>
      <w:r>
        <w:rPr>
          <w:rFonts w:ascii="Century Gothic" w:eastAsia="Century Gothic" w:hAnsi="Century Gothic" w:cs="Century Gothic"/>
          <w:b/>
          <w:bCs/>
          <w:sz w:val="22"/>
          <w:szCs w:val="22"/>
        </w:rPr>
        <w:t>: el prestigio de Burdeos y un excepcional blanco del Ródano</w:t>
      </w:r>
    </w:p>
    <w:p w14:paraId="7A225731"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Actualmente disponible a bordo en </w:t>
      </w:r>
      <w:r>
        <w:rPr>
          <w:rFonts w:ascii="Century Gothic" w:eastAsia="Century Gothic" w:hAnsi="Century Gothic" w:cs="Century Gothic"/>
          <w:i/>
          <w:iCs/>
          <w:sz w:val="22"/>
          <w:szCs w:val="22"/>
        </w:rPr>
        <w:t xml:space="preserve">Business Class </w:t>
      </w:r>
      <w:r>
        <w:rPr>
          <w:rFonts w:ascii="Century Gothic" w:eastAsia="Century Gothic" w:hAnsi="Century Gothic" w:cs="Century Gothic"/>
          <w:sz w:val="22"/>
          <w:szCs w:val="22"/>
        </w:rPr>
        <w:t>en las rutas hacia Estados Unidos, La Dame de Montrose 2014 de Château Montrose es el segundo vino de una de las grandes propiedades de Saint-</w:t>
      </w:r>
      <w:proofErr w:type="spellStart"/>
      <w:r>
        <w:rPr>
          <w:rFonts w:ascii="Century Gothic" w:eastAsia="Century Gothic" w:hAnsi="Century Gothic" w:cs="Century Gothic"/>
          <w:sz w:val="22"/>
          <w:szCs w:val="22"/>
        </w:rPr>
        <w:t>Estèphe</w:t>
      </w:r>
      <w:proofErr w:type="spellEnd"/>
      <w:r>
        <w:rPr>
          <w:rFonts w:ascii="Century Gothic" w:eastAsia="Century Gothic" w:hAnsi="Century Gothic" w:cs="Century Gothic"/>
          <w:sz w:val="22"/>
          <w:szCs w:val="22"/>
        </w:rPr>
        <w:t xml:space="preserve"> y un </w:t>
      </w:r>
      <w:r>
        <w:rPr>
          <w:rFonts w:ascii="Century Gothic" w:eastAsia="Century Gothic" w:hAnsi="Century Gothic" w:cs="Century Gothic"/>
          <w:i/>
          <w:iCs/>
          <w:sz w:val="22"/>
          <w:szCs w:val="22"/>
        </w:rPr>
        <w:t xml:space="preserve">Second </w:t>
      </w:r>
      <w:proofErr w:type="spellStart"/>
      <w:r>
        <w:rPr>
          <w:rFonts w:ascii="Century Gothic" w:eastAsia="Century Gothic" w:hAnsi="Century Gothic" w:cs="Century Gothic"/>
          <w:i/>
          <w:iCs/>
          <w:sz w:val="22"/>
          <w:szCs w:val="22"/>
        </w:rPr>
        <w:t>Growth</w:t>
      </w:r>
      <w:proofErr w:type="spellEnd"/>
      <w:r>
        <w:rPr>
          <w:rFonts w:ascii="Century Gothic" w:eastAsia="Century Gothic" w:hAnsi="Century Gothic" w:cs="Century Gothic"/>
          <w:sz w:val="22"/>
          <w:szCs w:val="22"/>
        </w:rPr>
        <w:t xml:space="preserve"> en la Clasificación de Burdeos de 1855. La clásica añada 2014 ofrece notas de grosella negra, cereza oscura, cedro y tabaco, con taninos pulidos y un final largo y sabroso.</w:t>
      </w:r>
    </w:p>
    <w:p w14:paraId="1277FF12"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partir de finales de septiembre, en las rutas hacia Asia Oriental, los clientes de </w:t>
      </w:r>
      <w:r>
        <w:rPr>
          <w:rFonts w:ascii="Century Gothic" w:eastAsia="Century Gothic" w:hAnsi="Century Gothic" w:cs="Century Gothic"/>
          <w:i/>
          <w:iCs/>
          <w:sz w:val="22"/>
          <w:szCs w:val="22"/>
        </w:rPr>
        <w:t>Business Class</w:t>
      </w:r>
      <w:r>
        <w:rPr>
          <w:rFonts w:ascii="Century Gothic" w:eastAsia="Century Gothic" w:hAnsi="Century Gothic" w:cs="Century Gothic"/>
          <w:sz w:val="22"/>
          <w:szCs w:val="22"/>
        </w:rPr>
        <w:t xml:space="preserve"> podrán disfrutar de </w:t>
      </w:r>
      <w:proofErr w:type="spellStart"/>
      <w:r>
        <w:rPr>
          <w:rFonts w:ascii="Century Gothic" w:eastAsia="Century Gothic" w:hAnsi="Century Gothic" w:cs="Century Gothic"/>
          <w:sz w:val="22"/>
          <w:szCs w:val="22"/>
        </w:rPr>
        <w:t>Châteauneuf</w:t>
      </w:r>
      <w:proofErr w:type="spellEnd"/>
      <w:r>
        <w:rPr>
          <w:rFonts w:ascii="Century Gothic" w:eastAsia="Century Gothic" w:hAnsi="Century Gothic" w:cs="Century Gothic"/>
          <w:sz w:val="22"/>
          <w:szCs w:val="22"/>
        </w:rPr>
        <w:t xml:space="preserve">-du-Pape Blanc 2024 de </w:t>
      </w:r>
      <w:proofErr w:type="spellStart"/>
      <w:r>
        <w:rPr>
          <w:rFonts w:ascii="Century Gothic" w:eastAsia="Century Gothic" w:hAnsi="Century Gothic" w:cs="Century Gothic"/>
          <w:sz w:val="22"/>
          <w:szCs w:val="22"/>
        </w:rPr>
        <w:t>Domaine</w:t>
      </w:r>
      <w:proofErr w:type="spellEnd"/>
      <w:r>
        <w:rPr>
          <w:rFonts w:ascii="Century Gothic" w:eastAsia="Century Gothic" w:hAnsi="Century Gothic" w:cs="Century Gothic"/>
          <w:sz w:val="22"/>
          <w:szCs w:val="22"/>
        </w:rPr>
        <w:t xml:space="preserve"> des </w:t>
      </w:r>
      <w:proofErr w:type="spellStart"/>
      <w:r>
        <w:rPr>
          <w:rFonts w:ascii="Century Gothic" w:eastAsia="Century Gothic" w:hAnsi="Century Gothic" w:cs="Century Gothic"/>
          <w:sz w:val="22"/>
          <w:szCs w:val="22"/>
        </w:rPr>
        <w:t>Sénéchaux</w:t>
      </w:r>
      <w:proofErr w:type="spellEnd"/>
      <w:r>
        <w:rPr>
          <w:rFonts w:ascii="Century Gothic" w:eastAsia="Century Gothic" w:hAnsi="Century Gothic" w:cs="Century Gothic"/>
          <w:sz w:val="22"/>
          <w:szCs w:val="22"/>
        </w:rPr>
        <w:t>, un distintivo vino blanco del sur del Ródano, donde solo aproximadamente una de cada 16 botellas producidas en esta denominación corresponde a vino blanco. Esta añada ofrece notas de flores blancas, cítricos, pera y sutiles especias, con una textura redondeada y un final fresco y mineral.</w:t>
      </w:r>
    </w:p>
    <w:p w14:paraId="20810A37"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i/>
          <w:iCs/>
          <w:sz w:val="22"/>
          <w:szCs w:val="22"/>
        </w:rPr>
        <w:t>Premium Economy</w:t>
      </w:r>
      <w:r>
        <w:rPr>
          <w:rFonts w:ascii="Century Gothic" w:eastAsia="Century Gothic" w:hAnsi="Century Gothic" w:cs="Century Gothic"/>
          <w:b/>
          <w:bCs/>
          <w:sz w:val="22"/>
          <w:szCs w:val="22"/>
        </w:rPr>
        <w:t>: de Burdeos y Borgoña a una primicia británica</w:t>
      </w:r>
    </w:p>
    <w:p w14:paraId="1171AE0F"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A partir de octubre, la </w:t>
      </w:r>
      <w:r>
        <w:rPr>
          <w:rFonts w:ascii="Century Gothic" w:eastAsia="Century Gothic" w:hAnsi="Century Gothic" w:cs="Century Gothic"/>
          <w:i/>
          <w:iCs/>
          <w:sz w:val="22"/>
          <w:szCs w:val="22"/>
        </w:rPr>
        <w:t>Premium Economy</w:t>
      </w:r>
      <w:r>
        <w:rPr>
          <w:rFonts w:ascii="Century Gothic" w:eastAsia="Century Gothic" w:hAnsi="Century Gothic" w:cs="Century Gothic"/>
          <w:sz w:val="22"/>
          <w:szCs w:val="22"/>
        </w:rPr>
        <w:t xml:space="preserve"> de Emirates contará con La Parde de Haut-Bailly 2014, de Château Haut-Bailly, una de las históricas bodegas de </w:t>
      </w:r>
      <w:proofErr w:type="spellStart"/>
      <w:r>
        <w:rPr>
          <w:rFonts w:ascii="Century Gothic" w:eastAsia="Century Gothic" w:hAnsi="Century Gothic" w:cs="Century Gothic"/>
          <w:sz w:val="22"/>
          <w:szCs w:val="22"/>
        </w:rPr>
        <w:t>Pessac-Léognan</w:t>
      </w:r>
      <w:proofErr w:type="spellEnd"/>
      <w:r>
        <w:rPr>
          <w:rFonts w:ascii="Century Gothic" w:eastAsia="Century Gothic" w:hAnsi="Century Gothic" w:cs="Century Gothic"/>
          <w:sz w:val="22"/>
          <w:szCs w:val="22"/>
        </w:rPr>
        <w:t>, en Burdeos. El vino ofrece notas de grosella negra, ciruela roja, cereza, tabaco y cedro, con taninos sedosos, acidez fresca y un final largo y elegante tras alrededor de una década de maduración.</w:t>
      </w:r>
    </w:p>
    <w:p w14:paraId="512F3344"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Desde septiembre, los clientes de </w:t>
      </w:r>
      <w:r>
        <w:rPr>
          <w:rFonts w:ascii="Century Gothic" w:eastAsia="Century Gothic" w:hAnsi="Century Gothic" w:cs="Century Gothic"/>
          <w:i/>
          <w:iCs/>
          <w:sz w:val="22"/>
          <w:szCs w:val="22"/>
        </w:rPr>
        <w:t xml:space="preserve">Premium Economy </w:t>
      </w:r>
      <w:r>
        <w:rPr>
          <w:rFonts w:ascii="Century Gothic" w:eastAsia="Century Gothic" w:hAnsi="Century Gothic" w:cs="Century Gothic"/>
          <w:sz w:val="22"/>
          <w:szCs w:val="22"/>
        </w:rPr>
        <w:t>también podrán degustar Chablis Premier Cru Jean-Marc Brocard 2024, procedente de una de las regiones vinícolas blancas más distintivas de Borgoña, donde el Chardonnay destaca por su pureza, frescura y precisión mineral. Las notas de limón, manzana verde y flores blancas dan paso a un paladar fresco y refinado, con una acidez brillante, tensión salina y un final preciso.</w:t>
      </w:r>
    </w:p>
    <w:p w14:paraId="1ACE8BED"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Octubre también marcará un hito para Emirates, ya que </w:t>
      </w:r>
      <w:proofErr w:type="spellStart"/>
      <w:r>
        <w:rPr>
          <w:rFonts w:ascii="Century Gothic" w:eastAsia="Century Gothic" w:hAnsi="Century Gothic" w:cs="Century Gothic"/>
          <w:sz w:val="22"/>
          <w:szCs w:val="22"/>
        </w:rPr>
        <w:t>Wiston</w:t>
      </w:r>
      <w:proofErr w:type="spellEnd"/>
      <w:r>
        <w:rPr>
          <w:rFonts w:ascii="Century Gothic" w:eastAsia="Century Gothic" w:hAnsi="Century Gothic" w:cs="Century Gothic"/>
          <w:sz w:val="22"/>
          <w:szCs w:val="22"/>
        </w:rPr>
        <w:t xml:space="preserve"> Estate </w:t>
      </w:r>
      <w:proofErr w:type="spellStart"/>
      <w:r>
        <w:rPr>
          <w:rFonts w:ascii="Century Gothic" w:eastAsia="Century Gothic" w:hAnsi="Century Gothic" w:cs="Century Gothic"/>
          <w:sz w:val="22"/>
          <w:szCs w:val="22"/>
        </w:rPr>
        <w:t>Brut</w:t>
      </w:r>
      <w:proofErr w:type="spellEnd"/>
      <w:r>
        <w:rPr>
          <w:rFonts w:ascii="Century Gothic" w:eastAsia="Century Gothic" w:hAnsi="Century Gothic" w:cs="Century Gothic"/>
          <w:sz w:val="22"/>
          <w:szCs w:val="22"/>
        </w:rPr>
        <w:t xml:space="preserve"> NV se convertirá en el primer vino espumoso inglés de la aerolínea, servido exclusivamente en </w:t>
      </w:r>
      <w:r>
        <w:rPr>
          <w:rFonts w:ascii="Century Gothic" w:eastAsia="Century Gothic" w:hAnsi="Century Gothic" w:cs="Century Gothic"/>
          <w:i/>
          <w:iCs/>
          <w:sz w:val="22"/>
          <w:szCs w:val="22"/>
        </w:rPr>
        <w:t>Premium Economy</w:t>
      </w:r>
      <w:r>
        <w:rPr>
          <w:rFonts w:ascii="Century Gothic" w:eastAsia="Century Gothic" w:hAnsi="Century Gothic" w:cs="Century Gothic"/>
          <w:sz w:val="22"/>
          <w:szCs w:val="22"/>
        </w:rPr>
        <w:t xml:space="preserve"> en las rutas hacia Reino Unido. </w:t>
      </w:r>
      <w:proofErr w:type="spellStart"/>
      <w:r>
        <w:rPr>
          <w:rFonts w:ascii="Century Gothic" w:eastAsia="Century Gothic" w:hAnsi="Century Gothic" w:cs="Century Gothic"/>
          <w:sz w:val="22"/>
          <w:szCs w:val="22"/>
        </w:rPr>
        <w:t>Wiston</w:t>
      </w:r>
      <w:proofErr w:type="spellEnd"/>
      <w:r>
        <w:rPr>
          <w:rFonts w:ascii="Century Gothic" w:eastAsia="Century Gothic" w:hAnsi="Century Gothic" w:cs="Century Gothic"/>
          <w:sz w:val="22"/>
          <w:szCs w:val="22"/>
        </w:rPr>
        <w:t xml:space="preserve"> Estate es una histórica propiedad familiar situada en West Sussex, cuyos viñedos se asientan sobre los suelos calcáreos de South Downs. Elaborado con Chardonnay, </w:t>
      </w:r>
      <w:proofErr w:type="spellStart"/>
      <w:r>
        <w:rPr>
          <w:rFonts w:ascii="Century Gothic" w:eastAsia="Century Gothic" w:hAnsi="Century Gothic" w:cs="Century Gothic"/>
          <w:sz w:val="22"/>
          <w:szCs w:val="22"/>
        </w:rPr>
        <w:t>Pinot</w:t>
      </w:r>
      <w:proofErr w:type="spellEnd"/>
      <w:r>
        <w:rPr>
          <w:rFonts w:ascii="Century Gothic" w:eastAsia="Century Gothic" w:hAnsi="Century Gothic" w:cs="Century Gothic"/>
          <w:sz w:val="22"/>
          <w:szCs w:val="22"/>
        </w:rPr>
        <w:t xml:space="preserve"> Noir y </w:t>
      </w:r>
      <w:proofErr w:type="spellStart"/>
      <w:r>
        <w:rPr>
          <w:rFonts w:ascii="Century Gothic" w:eastAsia="Century Gothic" w:hAnsi="Century Gothic" w:cs="Century Gothic"/>
          <w:sz w:val="22"/>
          <w:szCs w:val="22"/>
        </w:rPr>
        <w:t>Pinot</w:t>
      </w:r>
      <w:proofErr w:type="spellEnd"/>
      <w:r>
        <w:rPr>
          <w:rFonts w:ascii="Century Gothic" w:eastAsia="Century Gothic" w:hAnsi="Century Gothic" w:cs="Century Gothic"/>
          <w:sz w:val="22"/>
          <w:szCs w:val="22"/>
        </w:rPr>
        <w:t xml:space="preserve"> Meunier mediante el método tradicional, su </w:t>
      </w:r>
      <w:proofErr w:type="spellStart"/>
      <w:r>
        <w:rPr>
          <w:rFonts w:ascii="Century Gothic" w:eastAsia="Century Gothic" w:hAnsi="Century Gothic" w:cs="Century Gothic"/>
          <w:sz w:val="22"/>
          <w:szCs w:val="22"/>
        </w:rPr>
        <w:t>Brut</w:t>
      </w:r>
      <w:proofErr w:type="spellEnd"/>
      <w:r>
        <w:rPr>
          <w:rFonts w:ascii="Century Gothic" w:eastAsia="Century Gothic" w:hAnsi="Century Gothic" w:cs="Century Gothic"/>
          <w:sz w:val="22"/>
          <w:szCs w:val="22"/>
        </w:rPr>
        <w:t xml:space="preserve"> NV incorpora vinos de reserva y una crianza prolongada sobre lías que aporta profundidad y complejidad, al tiempo que conserva su frescura y su característico perfil mineral. El vino ha obtenido numerosos reconocimientos internacionales y </w:t>
      </w:r>
      <w:proofErr w:type="spellStart"/>
      <w:r>
        <w:rPr>
          <w:rFonts w:ascii="Century Gothic" w:eastAsia="Century Gothic" w:hAnsi="Century Gothic" w:cs="Century Gothic"/>
          <w:sz w:val="22"/>
          <w:szCs w:val="22"/>
        </w:rPr>
        <w:t>Wiston</w:t>
      </w:r>
      <w:proofErr w:type="spellEnd"/>
      <w:r>
        <w:rPr>
          <w:rFonts w:ascii="Century Gothic" w:eastAsia="Century Gothic" w:hAnsi="Century Gothic" w:cs="Century Gothic"/>
          <w:sz w:val="22"/>
          <w:szCs w:val="22"/>
        </w:rPr>
        <w:t xml:space="preserve"> Estate ha sido nombrada </w:t>
      </w:r>
      <w:proofErr w:type="spellStart"/>
      <w:r>
        <w:rPr>
          <w:rFonts w:ascii="Century Gothic" w:eastAsia="Century Gothic" w:hAnsi="Century Gothic" w:cs="Century Gothic"/>
          <w:sz w:val="22"/>
          <w:szCs w:val="22"/>
        </w:rPr>
        <w:t>WineGB</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Winery</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of</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the</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Year</w:t>
      </w:r>
      <w:proofErr w:type="spellEnd"/>
      <w:r>
        <w:rPr>
          <w:rFonts w:ascii="Century Gothic" w:eastAsia="Century Gothic" w:hAnsi="Century Gothic" w:cs="Century Gothic"/>
          <w:sz w:val="22"/>
          <w:szCs w:val="22"/>
        </w:rPr>
        <w:t xml:space="preserve"> en seis ocasiones. En boca aparecen notas de manzana verde, limón recién cortado y masa madre, que evolucionan hacia una fina burbuja y matices de cítricos confitados, mantequilla y tostado. La incorporación de </w:t>
      </w:r>
      <w:proofErr w:type="spellStart"/>
      <w:r>
        <w:rPr>
          <w:rFonts w:ascii="Century Gothic" w:eastAsia="Century Gothic" w:hAnsi="Century Gothic" w:cs="Century Gothic"/>
          <w:sz w:val="22"/>
          <w:szCs w:val="22"/>
        </w:rPr>
        <w:t>Wiston</w:t>
      </w:r>
      <w:proofErr w:type="spellEnd"/>
      <w:r>
        <w:rPr>
          <w:rFonts w:ascii="Century Gothic" w:eastAsia="Century Gothic" w:hAnsi="Century Gothic" w:cs="Century Gothic"/>
          <w:sz w:val="22"/>
          <w:szCs w:val="22"/>
        </w:rPr>
        <w:t xml:space="preserve"> Estate exclusivamente en las rutas hacia Reino Unido rinde homenaje al origen y la tradición vitivinícola británicos y permite a los clientes de Emirates descubrir uno de los vinos espumosos de referencia de Inglaterra.</w:t>
      </w:r>
    </w:p>
    <w:p w14:paraId="00DABCDF"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Actualmente a bordo en </w:t>
      </w:r>
      <w:r>
        <w:rPr>
          <w:rFonts w:ascii="Century Gothic" w:eastAsia="Century Gothic" w:hAnsi="Century Gothic" w:cs="Century Gothic"/>
          <w:i/>
          <w:iCs/>
          <w:sz w:val="22"/>
          <w:szCs w:val="22"/>
        </w:rPr>
        <w:t>Premium Economy</w:t>
      </w:r>
      <w:r>
        <w:rPr>
          <w:rFonts w:ascii="Century Gothic" w:eastAsia="Century Gothic" w:hAnsi="Century Gothic" w:cs="Century Gothic"/>
          <w:sz w:val="22"/>
          <w:szCs w:val="22"/>
        </w:rPr>
        <w:t xml:space="preserve"> como exclusiva global de Emirates, Chandon 2021 continúa una colaboración consolidada que forma parte de la oferta de vinos de esta cabina desde su lanzamiento. Elaborado en el valle de </w:t>
      </w:r>
      <w:proofErr w:type="spellStart"/>
      <w:r>
        <w:rPr>
          <w:rFonts w:ascii="Century Gothic" w:eastAsia="Century Gothic" w:hAnsi="Century Gothic" w:cs="Century Gothic"/>
          <w:sz w:val="22"/>
          <w:szCs w:val="22"/>
        </w:rPr>
        <w:t>Yarra</w:t>
      </w:r>
      <w:proofErr w:type="spellEnd"/>
      <w:r>
        <w:rPr>
          <w:rFonts w:ascii="Century Gothic" w:eastAsia="Century Gothic" w:hAnsi="Century Gothic" w:cs="Century Gothic"/>
          <w:sz w:val="22"/>
          <w:szCs w:val="22"/>
        </w:rPr>
        <w:t xml:space="preserve">, en </w:t>
      </w:r>
      <w:r>
        <w:rPr>
          <w:rFonts w:ascii="Century Gothic" w:eastAsia="Century Gothic" w:hAnsi="Century Gothic" w:cs="Century Gothic"/>
          <w:sz w:val="22"/>
          <w:szCs w:val="22"/>
        </w:rPr>
        <w:lastRenderedPageBreak/>
        <w:t>Victoria, mediante el método tradicional y con cuatro años de crianza, este vino combina fruta vibrante con notas de brioche y almendra, frescura y persistencia, mientras que una dosificación mínima preserva su claridad y expresión regional.</w:t>
      </w:r>
    </w:p>
    <w:p w14:paraId="628C6C36"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i/>
          <w:iCs/>
          <w:sz w:val="22"/>
          <w:szCs w:val="22"/>
        </w:rPr>
        <w:t>Economy Class</w:t>
      </w:r>
      <w:r>
        <w:rPr>
          <w:rFonts w:ascii="Century Gothic" w:eastAsia="Century Gothic" w:hAnsi="Century Gothic" w:cs="Century Gothic"/>
          <w:b/>
          <w:bCs/>
          <w:sz w:val="22"/>
          <w:szCs w:val="22"/>
        </w:rPr>
        <w:t>: vinos con carácter de Francia y Sudáfrica</w:t>
      </w:r>
    </w:p>
    <w:p w14:paraId="40202C1C"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toda su red global de </w:t>
      </w:r>
      <w:r>
        <w:rPr>
          <w:rFonts w:ascii="Century Gothic" w:eastAsia="Century Gothic" w:hAnsi="Century Gothic" w:cs="Century Gothic"/>
          <w:i/>
          <w:iCs/>
          <w:sz w:val="22"/>
          <w:szCs w:val="22"/>
        </w:rPr>
        <w:t>Economy Class</w:t>
      </w:r>
      <w:r>
        <w:rPr>
          <w:rFonts w:ascii="Century Gothic" w:eastAsia="Century Gothic" w:hAnsi="Century Gothic" w:cs="Century Gothic"/>
          <w:sz w:val="22"/>
          <w:szCs w:val="22"/>
        </w:rPr>
        <w:t>, Emirates ofrece ahora una nueva selección de vinos accesibles y llenos de carácter.</w:t>
      </w:r>
    </w:p>
    <w:p w14:paraId="2D4900F8"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Domaine</w:t>
      </w:r>
      <w:proofErr w:type="spellEnd"/>
      <w:r>
        <w:rPr>
          <w:rFonts w:ascii="Century Gothic" w:eastAsia="Century Gothic" w:hAnsi="Century Gothic" w:cs="Century Gothic"/>
          <w:sz w:val="22"/>
          <w:szCs w:val="22"/>
        </w:rPr>
        <w:t xml:space="preserve"> de la </w:t>
      </w:r>
      <w:proofErr w:type="spellStart"/>
      <w:r>
        <w:rPr>
          <w:rFonts w:ascii="Century Gothic" w:eastAsia="Century Gothic" w:hAnsi="Century Gothic" w:cs="Century Gothic"/>
          <w:sz w:val="22"/>
          <w:szCs w:val="22"/>
        </w:rPr>
        <w:t>Baume</w:t>
      </w:r>
      <w:proofErr w:type="spellEnd"/>
      <w:r>
        <w:rPr>
          <w:rFonts w:ascii="Century Gothic" w:eastAsia="Century Gothic" w:hAnsi="Century Gothic" w:cs="Century Gothic"/>
          <w:sz w:val="22"/>
          <w:szCs w:val="22"/>
        </w:rPr>
        <w:t xml:space="preserve"> Tautavel 2023, un </w:t>
      </w:r>
      <w:proofErr w:type="spellStart"/>
      <w:r>
        <w:rPr>
          <w:rFonts w:ascii="Century Gothic" w:eastAsia="Century Gothic" w:hAnsi="Century Gothic" w:cs="Century Gothic"/>
          <w:sz w:val="22"/>
          <w:szCs w:val="22"/>
        </w:rPr>
        <w:t>Grenache</w:t>
      </w:r>
      <w:proofErr w:type="spellEnd"/>
      <w:r>
        <w:rPr>
          <w:rFonts w:ascii="Century Gothic" w:eastAsia="Century Gothic" w:hAnsi="Century Gothic" w:cs="Century Gothic"/>
          <w:sz w:val="22"/>
          <w:szCs w:val="22"/>
        </w:rPr>
        <w:t xml:space="preserve">-Syrah del </w:t>
      </w:r>
      <w:proofErr w:type="spellStart"/>
      <w:r>
        <w:rPr>
          <w:rFonts w:ascii="Century Gothic" w:eastAsia="Century Gothic" w:hAnsi="Century Gothic" w:cs="Century Gothic"/>
          <w:sz w:val="22"/>
          <w:szCs w:val="22"/>
        </w:rPr>
        <w:t>Roussillon</w:t>
      </w:r>
      <w:proofErr w:type="spellEnd"/>
      <w:r>
        <w:rPr>
          <w:rFonts w:ascii="Century Gothic" w:eastAsia="Century Gothic" w:hAnsi="Century Gothic" w:cs="Century Gothic"/>
          <w:sz w:val="22"/>
          <w:szCs w:val="22"/>
        </w:rPr>
        <w:t xml:space="preserve">, en el sur de Francia, ofrece notas de mora madura, grosella negra y ciruela roja, acompañadas de regaliz, pimienta y hierbas mediterráneas, con taninos suaves y un final dominado por la fruta. A partir de octubre, Emirates introducirá Château Pech-Latt </w:t>
      </w:r>
      <w:proofErr w:type="spellStart"/>
      <w:r>
        <w:rPr>
          <w:rFonts w:ascii="Century Gothic" w:eastAsia="Century Gothic" w:hAnsi="Century Gothic" w:cs="Century Gothic"/>
          <w:sz w:val="22"/>
          <w:szCs w:val="22"/>
        </w:rPr>
        <w:t>Corbières</w:t>
      </w:r>
      <w:proofErr w:type="spellEnd"/>
      <w:r>
        <w:rPr>
          <w:rFonts w:ascii="Century Gothic" w:eastAsia="Century Gothic" w:hAnsi="Century Gothic" w:cs="Century Gothic"/>
          <w:sz w:val="22"/>
          <w:szCs w:val="22"/>
        </w:rPr>
        <w:t xml:space="preserve"> 2024, elaborado con variedades tradicionales de </w:t>
      </w:r>
      <w:proofErr w:type="spellStart"/>
      <w:r>
        <w:rPr>
          <w:rFonts w:ascii="Century Gothic" w:eastAsia="Century Gothic" w:hAnsi="Century Gothic" w:cs="Century Gothic"/>
          <w:sz w:val="22"/>
          <w:szCs w:val="22"/>
        </w:rPr>
        <w:t>Corbières</w:t>
      </w:r>
      <w:proofErr w:type="spellEnd"/>
      <w:r>
        <w:rPr>
          <w:rFonts w:ascii="Century Gothic" w:eastAsia="Century Gothic" w:hAnsi="Century Gothic" w:cs="Century Gothic"/>
          <w:sz w:val="22"/>
          <w:szCs w:val="22"/>
        </w:rPr>
        <w:t xml:space="preserve">, entre ellas Syrah, </w:t>
      </w:r>
      <w:proofErr w:type="spellStart"/>
      <w:r>
        <w:rPr>
          <w:rFonts w:ascii="Century Gothic" w:eastAsia="Century Gothic" w:hAnsi="Century Gothic" w:cs="Century Gothic"/>
          <w:sz w:val="22"/>
          <w:szCs w:val="22"/>
        </w:rPr>
        <w:t>Grenache</w:t>
      </w:r>
      <w:proofErr w:type="spellEnd"/>
      <w:r>
        <w:rPr>
          <w:rFonts w:ascii="Century Gothic" w:eastAsia="Century Gothic" w:hAnsi="Century Gothic" w:cs="Century Gothic"/>
          <w:sz w:val="22"/>
          <w:szCs w:val="22"/>
        </w:rPr>
        <w:t xml:space="preserve">, Carignan y </w:t>
      </w:r>
      <w:proofErr w:type="spellStart"/>
      <w:r>
        <w:rPr>
          <w:rFonts w:ascii="Century Gothic" w:eastAsia="Century Gothic" w:hAnsi="Century Gothic" w:cs="Century Gothic"/>
          <w:sz w:val="22"/>
          <w:szCs w:val="22"/>
        </w:rPr>
        <w:t>Mourvèdre</w:t>
      </w:r>
      <w:proofErr w:type="spellEnd"/>
      <w:r>
        <w:rPr>
          <w:rFonts w:ascii="Century Gothic" w:eastAsia="Century Gothic" w:hAnsi="Century Gothic" w:cs="Century Gothic"/>
          <w:sz w:val="22"/>
          <w:szCs w:val="22"/>
        </w:rPr>
        <w:t>, que presenta notas de mora madura, grosella negra y frutos rojos complementadas con especias y hierbas mediterráneas, sobre un paladar redondo y aterciopelado.</w:t>
      </w:r>
    </w:p>
    <w:p w14:paraId="64B6F8EB"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los amantes del vino blanco, </w:t>
      </w:r>
      <w:proofErr w:type="spellStart"/>
      <w:r>
        <w:rPr>
          <w:rFonts w:ascii="Century Gothic" w:eastAsia="Century Gothic" w:hAnsi="Century Gothic" w:cs="Century Gothic"/>
          <w:sz w:val="22"/>
          <w:szCs w:val="22"/>
        </w:rPr>
        <w:t>Cuvée</w:t>
      </w:r>
      <w:proofErr w:type="spellEnd"/>
      <w:r>
        <w:rPr>
          <w:rFonts w:ascii="Century Gothic" w:eastAsia="Century Gothic" w:hAnsi="Century Gothic" w:cs="Century Gothic"/>
          <w:sz w:val="22"/>
          <w:szCs w:val="22"/>
        </w:rPr>
        <w:t xml:space="preserve"> Sabourin </w:t>
      </w:r>
      <w:proofErr w:type="spellStart"/>
      <w:r>
        <w:rPr>
          <w:rFonts w:ascii="Century Gothic" w:eastAsia="Century Gothic" w:hAnsi="Century Gothic" w:cs="Century Gothic"/>
          <w:sz w:val="22"/>
          <w:szCs w:val="22"/>
        </w:rPr>
        <w:t>Picpoul</w:t>
      </w:r>
      <w:proofErr w:type="spellEnd"/>
      <w:r>
        <w:rPr>
          <w:rFonts w:ascii="Century Gothic" w:eastAsia="Century Gothic" w:hAnsi="Century Gothic" w:cs="Century Gothic"/>
          <w:sz w:val="22"/>
          <w:szCs w:val="22"/>
        </w:rPr>
        <w:t xml:space="preserve"> de Pinet 2024 lleva a bordo la frescura de la costa mediterránea francesa, con notas de limón, manzana verde y flores blancas, junto con sutiles matices minerales y salinos. Su acidez vibrante y su final limpio y cítrico lo convierten en un acompañamiento especialmente adecuado para mariscos y platos ligeros. Completa la nueva selección de</w:t>
      </w:r>
      <w:r>
        <w:rPr>
          <w:rFonts w:ascii="Century Gothic" w:eastAsia="Century Gothic" w:hAnsi="Century Gothic" w:cs="Century Gothic"/>
          <w:i/>
          <w:iCs/>
          <w:sz w:val="22"/>
          <w:szCs w:val="22"/>
        </w:rPr>
        <w:t xml:space="preserve"> Economy Class</w:t>
      </w:r>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Journey’s</w:t>
      </w:r>
      <w:proofErr w:type="spellEnd"/>
      <w:r>
        <w:rPr>
          <w:rFonts w:ascii="Century Gothic" w:eastAsia="Century Gothic" w:hAnsi="Century Gothic" w:cs="Century Gothic"/>
          <w:sz w:val="22"/>
          <w:szCs w:val="22"/>
        </w:rPr>
        <w:t xml:space="preserve"> End Weather Station Sauvignon Blanc 2025, producido por la bodega familiar </w:t>
      </w:r>
      <w:proofErr w:type="spellStart"/>
      <w:r>
        <w:rPr>
          <w:rFonts w:ascii="Century Gothic" w:eastAsia="Century Gothic" w:hAnsi="Century Gothic" w:cs="Century Gothic"/>
          <w:sz w:val="22"/>
          <w:szCs w:val="22"/>
        </w:rPr>
        <w:t>Journey’s</w:t>
      </w:r>
      <w:proofErr w:type="spellEnd"/>
      <w:r>
        <w:rPr>
          <w:rFonts w:ascii="Century Gothic" w:eastAsia="Century Gothic" w:hAnsi="Century Gothic" w:cs="Century Gothic"/>
          <w:sz w:val="22"/>
          <w:szCs w:val="22"/>
        </w:rPr>
        <w:t xml:space="preserve"> End, situada cerca de Stellenbosch, en Sudáfrica. La añada muestra notas de manzana verde, cítricos, pomelo y kiwi, acompañados de una sutil </w:t>
      </w:r>
      <w:proofErr w:type="spellStart"/>
      <w:r>
        <w:rPr>
          <w:rFonts w:ascii="Century Gothic" w:eastAsia="Century Gothic" w:hAnsi="Century Gothic" w:cs="Century Gothic"/>
          <w:sz w:val="22"/>
          <w:szCs w:val="22"/>
        </w:rPr>
        <w:t>mineralidad</w:t>
      </w:r>
      <w:proofErr w:type="spellEnd"/>
      <w:r>
        <w:rPr>
          <w:rFonts w:ascii="Century Gothic" w:eastAsia="Century Gothic" w:hAnsi="Century Gothic" w:cs="Century Gothic"/>
          <w:sz w:val="22"/>
          <w:szCs w:val="22"/>
        </w:rPr>
        <w:t xml:space="preserve"> salina, una acidez vibrante y un final limpio y refrescante.</w:t>
      </w:r>
    </w:p>
    <w:p w14:paraId="5A782C81"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Los exigentes criterios de Emirates para seleccionar sus vinos</w:t>
      </w:r>
    </w:p>
    <w:p w14:paraId="4F504899" w14:textId="77777777" w:rsidR="00C603A2" w:rsidRDefault="00000000">
      <w:pPr>
        <w:pBdr>
          <w:top w:val="nil"/>
          <w:left w:val="nil"/>
          <w:bottom w:val="nil"/>
          <w:right w:val="nil"/>
          <w:between w:val="nil"/>
        </w:pBdr>
        <w:spacing w:before="280" w:line="360" w:lineRule="auto"/>
        <w:jc w:val="both"/>
        <w:rPr>
          <w:rFonts w:ascii="Century Gothic" w:eastAsia="Century Gothic" w:hAnsi="Century Gothic" w:cs="Century Gothic"/>
          <w:b/>
          <w:bCs/>
          <w:i/>
          <w:iCs/>
          <w:color w:val="000000"/>
          <w:sz w:val="18"/>
          <w:szCs w:val="18"/>
        </w:rPr>
      </w:pPr>
      <w:r>
        <w:rPr>
          <w:rFonts w:ascii="Century Gothic" w:eastAsia="Century Gothic" w:hAnsi="Century Gothic" w:cs="Century Gothic"/>
          <w:sz w:val="22"/>
          <w:szCs w:val="22"/>
        </w:rPr>
        <w:t xml:space="preserve">Emirates aplica unos criterios rigurosos a la hora de seleccionar los vinos que se sirven a bordo teniendo en cuenta cómo evolucionan tanto en tierra como a la altitud de crucero. Entre los factores que se valoran se encuentran el carácter de la fruta, la </w:t>
      </w:r>
      <w:r>
        <w:rPr>
          <w:rFonts w:ascii="Century Gothic" w:eastAsia="Century Gothic" w:hAnsi="Century Gothic" w:cs="Century Gothic"/>
          <w:sz w:val="22"/>
          <w:szCs w:val="22"/>
        </w:rPr>
        <w:lastRenderedPageBreak/>
        <w:t xml:space="preserve">acidez, los niveles de taninos, la influencia de la madera y, especialmente, el grado de maduración. Muchos de los vinos se adquieren años antes de estar listos para su consumo y se someten a un proceso de crianza en instalaciones profesionales en Francia. Los vinos de Burdeos destinados a </w:t>
      </w:r>
      <w:r>
        <w:rPr>
          <w:rFonts w:ascii="Century Gothic" w:eastAsia="Century Gothic" w:hAnsi="Century Gothic" w:cs="Century Gothic"/>
          <w:i/>
          <w:iCs/>
          <w:sz w:val="22"/>
          <w:szCs w:val="22"/>
        </w:rPr>
        <w:t>Business Class</w:t>
      </w:r>
      <w:r>
        <w:rPr>
          <w:rFonts w:ascii="Century Gothic" w:eastAsia="Century Gothic" w:hAnsi="Century Gothic" w:cs="Century Gothic"/>
          <w:sz w:val="22"/>
          <w:szCs w:val="22"/>
        </w:rPr>
        <w:t xml:space="preserve"> suelen pasar un mínimo de ocho a diez años de maduración, mientras que los seleccionados para </w:t>
      </w:r>
      <w:r>
        <w:rPr>
          <w:rFonts w:ascii="Century Gothic" w:eastAsia="Century Gothic" w:hAnsi="Century Gothic" w:cs="Century Gothic"/>
          <w:i/>
          <w:iCs/>
          <w:sz w:val="22"/>
          <w:szCs w:val="22"/>
        </w:rPr>
        <w:t xml:space="preserve">First Class </w:t>
      </w:r>
      <w:r>
        <w:rPr>
          <w:rFonts w:ascii="Century Gothic" w:eastAsia="Century Gothic" w:hAnsi="Century Gothic" w:cs="Century Gothic"/>
          <w:sz w:val="22"/>
          <w:szCs w:val="22"/>
        </w:rPr>
        <w:t>pueden hacerlo durante al menos 12 a 15 años. Este enfoque a largo plazo permite a Emirates asegurar pequeñas partidas de añadas muy buscadas y servir a sus clientes vinos en su momento óptimo, como parte de su compromiso Fly Better.</w:t>
      </w:r>
    </w:p>
    <w:p w14:paraId="55FDF976" w14:textId="77777777" w:rsidR="00C603A2" w:rsidRDefault="00C603A2">
      <w:pPr>
        <w:pBdr>
          <w:top w:val="nil"/>
          <w:left w:val="nil"/>
          <w:bottom w:val="nil"/>
          <w:right w:val="nil"/>
          <w:between w:val="nil"/>
        </w:pBdr>
        <w:spacing w:before="280" w:line="360" w:lineRule="auto"/>
        <w:jc w:val="both"/>
        <w:rPr>
          <w:rFonts w:ascii="Century Gothic" w:eastAsia="Century Gothic" w:hAnsi="Century Gothic" w:cs="Century Gothic"/>
          <w:b/>
          <w:bCs/>
          <w:i/>
          <w:iCs/>
          <w:color w:val="000000"/>
          <w:sz w:val="18"/>
          <w:szCs w:val="18"/>
        </w:rPr>
      </w:pPr>
    </w:p>
    <w:p w14:paraId="0B580295" w14:textId="77777777" w:rsidR="00C603A2" w:rsidRDefault="00C603A2">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C603A2">
      <w:headerReference w:type="default" r:id="rId7"/>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C76F54" w14:textId="77777777" w:rsidR="00E32C9F" w:rsidRDefault="00E32C9F">
      <w:r>
        <w:separator/>
      </w:r>
    </w:p>
  </w:endnote>
  <w:endnote w:type="continuationSeparator" w:id="0">
    <w:p w14:paraId="11C28F36" w14:textId="77777777" w:rsidR="00E32C9F" w:rsidRDefault="00E3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0B7E42D-07FE-B248-A1DD-4060000D5C7C}"/>
    <w:embedBold r:id="rId2" w:fontKey="{E939F04A-90ED-C84B-BD26-4A3BCE2A5CCD}"/>
    <w:embedItalic r:id="rId3" w:fontKey="{FCF183BD-B1CC-CC43-92AA-2D6512CB214F}"/>
  </w:font>
  <w:font w:name="Calibri">
    <w:panose1 w:val="020F0502020204030204"/>
    <w:charset w:val="00"/>
    <w:family w:val="modern"/>
    <w:pitch w:val="variable"/>
    <w:sig w:usb0="00000003" w:usb1="00000000" w:usb2="00000000" w:usb3="00000000" w:csb0="00000001" w:csb1="00000000"/>
    <w:embedRegular r:id="rId4" w:fontKey="{CCAAA5B8-CA60-B943-AC3F-CEC6DF264DB6}"/>
  </w:font>
  <w:font w:name="Cambria">
    <w:panose1 w:val="02040503050406030204"/>
    <w:charset w:val="00"/>
    <w:family w:val="roman"/>
    <w:pitch w:val="variable"/>
    <w:sig w:usb0="E00002FF" w:usb1="400004FF" w:usb2="00000000" w:usb3="00000000" w:csb0="0000019F" w:csb1="00000000"/>
    <w:embedRegular r:id="rId5" w:fontKey="{AEC3CE3D-63A7-9943-967C-AF2B535226F7}"/>
  </w:font>
  <w:font w:name="Georgia">
    <w:panose1 w:val="02040502050405020303"/>
    <w:charset w:val="00"/>
    <w:family w:val="roman"/>
    <w:pitch w:val="variable"/>
    <w:sig w:usb0="00000287" w:usb1="00000000" w:usb2="00000000" w:usb3="00000000" w:csb0="0000009F" w:csb1="00000000"/>
    <w:embedItalic r:id="rId6" w:fontKey="{9D1E379B-5900-F840-ACE1-36A437337756}"/>
  </w:font>
  <w:font w:name="Century Gothic">
    <w:panose1 w:val="020B0502020202020204"/>
    <w:charset w:val="00"/>
    <w:family w:val="swiss"/>
    <w:pitch w:val="variable"/>
    <w:sig w:usb0="00000287" w:usb1="00000000" w:usb2="00000000" w:usb3="00000000" w:csb0="0000009F" w:csb1="00000000"/>
    <w:embedRegular r:id="rId7" w:fontKey="{CEECDEAE-63E2-3D44-AD7B-BE3FCE2C8BCE}"/>
    <w:embedBold r:id="rId8" w:fontKey="{36955AAE-9907-B14D-93A0-7385D0A3225E}"/>
    <w:embedItalic r:id="rId9" w:fontKey="{A2936F36-F1EF-944D-92FB-7BAC1970FCC7}"/>
    <w:embedBoldItalic r:id="rId10" w:fontKey="{2F536624-4832-4B40-A1F5-1309858A7D7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A65D67" w14:textId="77777777" w:rsidR="00E32C9F" w:rsidRDefault="00E32C9F">
      <w:r>
        <w:separator/>
      </w:r>
    </w:p>
  </w:footnote>
  <w:footnote w:type="continuationSeparator" w:id="0">
    <w:p w14:paraId="639D3B91" w14:textId="77777777" w:rsidR="00E32C9F" w:rsidRDefault="00E32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92F0B8" w14:textId="77777777" w:rsidR="00C603A2"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36C262DC" wp14:editId="5A575415">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3829C96A" w14:textId="77777777" w:rsidR="00C603A2" w:rsidRDefault="00C603A2">
    <w:pPr>
      <w:pBdr>
        <w:top w:val="nil"/>
        <w:left w:val="nil"/>
        <w:bottom w:val="nil"/>
        <w:right w:val="nil"/>
        <w:between w:val="nil"/>
      </w:pBdr>
      <w:tabs>
        <w:tab w:val="right" w:pos="8478"/>
      </w:tabs>
      <w:spacing w:after="200"/>
      <w:rPr>
        <w:rFonts w:ascii="Cambria" w:eastAsia="Cambria" w:hAnsi="Cambria" w:cs="Cambria"/>
        <w:color w:val="000000"/>
      </w:rPr>
    </w:pPr>
  </w:p>
  <w:p w14:paraId="3620CA0A" w14:textId="77777777" w:rsidR="00C603A2" w:rsidRDefault="00C603A2">
    <w:pPr>
      <w:pBdr>
        <w:top w:val="nil"/>
        <w:left w:val="nil"/>
        <w:bottom w:val="nil"/>
        <w:right w:val="nil"/>
        <w:between w:val="nil"/>
      </w:pBdr>
      <w:tabs>
        <w:tab w:val="right" w:pos="8478"/>
      </w:tabs>
      <w:spacing w:after="200"/>
      <w:rPr>
        <w:rFonts w:ascii="Cambria" w:eastAsia="Cambria" w:hAnsi="Cambria" w:cs="Cambria"/>
        <w:color w:val="000000"/>
      </w:rPr>
    </w:pPr>
  </w:p>
  <w:p w14:paraId="22F3B601" w14:textId="77777777" w:rsidR="00C603A2" w:rsidRDefault="00C603A2">
    <w:pPr>
      <w:pBdr>
        <w:top w:val="nil"/>
        <w:left w:val="nil"/>
        <w:bottom w:val="nil"/>
        <w:right w:val="nil"/>
        <w:between w:val="nil"/>
      </w:pBdr>
      <w:tabs>
        <w:tab w:val="right" w:pos="8478"/>
      </w:tabs>
      <w:spacing w:after="200"/>
      <w:rPr>
        <w:rFonts w:ascii="Cambria" w:eastAsia="Cambria" w:hAnsi="Cambria" w:cs="Cambria"/>
        <w:color w:val="000000"/>
      </w:rPr>
    </w:pPr>
  </w:p>
  <w:p w14:paraId="7A9A0C11" w14:textId="77777777" w:rsidR="00C603A2" w:rsidRDefault="00C603A2">
    <w:pPr>
      <w:pBdr>
        <w:top w:val="nil"/>
        <w:left w:val="nil"/>
        <w:bottom w:val="nil"/>
        <w:right w:val="nil"/>
        <w:between w:val="nil"/>
      </w:pBdr>
      <w:tabs>
        <w:tab w:val="right" w:pos="8478"/>
      </w:tabs>
      <w:spacing w:after="200"/>
      <w:rPr>
        <w:rFonts w:ascii="Cambria" w:eastAsia="Cambria" w:hAnsi="Cambria" w:cs="Cambria"/>
        <w:color w:val="000000"/>
      </w:rPr>
    </w:pPr>
  </w:p>
  <w:p w14:paraId="02CDE1DD" w14:textId="77777777" w:rsidR="00C603A2" w:rsidRDefault="00C603A2">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3A2"/>
    <w:rsid w:val="00C603A2"/>
    <w:rsid w:val="00CE494F"/>
    <w:rsid w:val="00E32C9F"/>
    <w:rsid w:val="00FC6B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164E54C"/>
  <w15:docId w15:val="{3DDA3AD7-BF25-FC42-A3F3-CCB8BBEA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Fuerte">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Sv5pKsOb4uDlBxWj56UkcZQSVA==">CgMxLjA4AHIhMXNSZmlldE1ycnk0bTM5cXdtaFBtajJ4TWJtc2lTeVJO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1732</Words>
  <Characters>9202</Characters>
  <Application>Microsoft Office Word</Application>
  <DocSecurity>0</DocSecurity>
  <Lines>148</Lines>
  <Paragraphs>35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10899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Andie</cp:lastModifiedBy>
  <cp:revision>2</cp:revision>
  <dcterms:created xsi:type="dcterms:W3CDTF">2026-09-02T19:15:00Z</dcterms:created>
  <dcterms:modified xsi:type="dcterms:W3CDTF">2026-09-03T08:13:00Z</dcterms:modified>
  <cp:category/>
</cp:coreProperties>
</file>