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A19B1E" w14:textId="77777777" w:rsidR="00161C70" w:rsidRDefault="00000000">
      <w:pPr>
        <w:pBdr>
          <w:top w:val="nil"/>
          <w:left w:val="nil"/>
          <w:bottom w:val="nil"/>
          <w:right w:val="nil"/>
          <w:between w:val="nil"/>
        </w:pBdr>
        <w:spacing w:line="360" w:lineRule="auto"/>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Contacto:</w:t>
      </w:r>
    </w:p>
    <w:p w14:paraId="65C89215" w14:textId="77777777" w:rsidR="00161C70" w:rsidRDefault="00000000">
      <w:pPr>
        <w:pBdr>
          <w:top w:val="nil"/>
          <w:left w:val="nil"/>
          <w:bottom w:val="nil"/>
          <w:right w:val="nil"/>
          <w:between w:val="nil"/>
        </w:pBdr>
        <w:spacing w:line="360" w:lineRule="auto"/>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EMIRATES </w:t>
      </w:r>
    </w:p>
    <w:p w14:paraId="5A9914B5" w14:textId="77777777" w:rsidR="00161C70" w:rsidRDefault="00000000">
      <w:pPr>
        <w:pBdr>
          <w:top w:val="nil"/>
          <w:left w:val="nil"/>
          <w:bottom w:val="nil"/>
          <w:right w:val="nil"/>
          <w:between w:val="nil"/>
        </w:pBdr>
        <w:spacing w:line="360" w:lineRule="auto"/>
        <w:jc w:val="both"/>
        <w:rPr>
          <w:rFonts w:ascii="Century Gothic" w:eastAsia="Century Gothic" w:hAnsi="Century Gothic" w:cs="Century Gothic"/>
          <w:color w:val="000000"/>
          <w:sz w:val="18"/>
          <w:szCs w:val="18"/>
        </w:rPr>
      </w:pPr>
      <w:proofErr w:type="spellStart"/>
      <w:r>
        <w:rPr>
          <w:rFonts w:ascii="Century Gothic" w:eastAsia="Century Gothic" w:hAnsi="Century Gothic" w:cs="Century Gothic"/>
          <w:color w:val="000000"/>
          <w:sz w:val="18"/>
          <w:szCs w:val="18"/>
        </w:rPr>
        <w:t>Sergat</w:t>
      </w:r>
      <w:proofErr w:type="spellEnd"/>
      <w:r>
        <w:rPr>
          <w:rFonts w:ascii="Century Gothic" w:eastAsia="Century Gothic" w:hAnsi="Century Gothic" w:cs="Century Gothic"/>
          <w:color w:val="000000"/>
          <w:sz w:val="18"/>
          <w:szCs w:val="18"/>
        </w:rPr>
        <w:t xml:space="preserve"> </w:t>
      </w:r>
    </w:p>
    <w:p w14:paraId="3DBC3EDE" w14:textId="77777777" w:rsidR="00161C70" w:rsidRDefault="00000000">
      <w:pPr>
        <w:pBdr>
          <w:top w:val="nil"/>
          <w:left w:val="nil"/>
          <w:bottom w:val="nil"/>
          <w:right w:val="nil"/>
          <w:between w:val="nil"/>
        </w:pBdr>
        <w:spacing w:line="360" w:lineRule="auto"/>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Teléfono: 93 414 02 10</w:t>
      </w:r>
    </w:p>
    <w:p w14:paraId="79C49FB0" w14:textId="77777777" w:rsidR="00161C70" w:rsidRDefault="00000000">
      <w:pPr>
        <w:pBdr>
          <w:top w:val="nil"/>
          <w:left w:val="nil"/>
          <w:bottom w:val="nil"/>
          <w:right w:val="nil"/>
          <w:between w:val="nil"/>
        </w:pBdr>
        <w:spacing w:line="360" w:lineRule="auto"/>
        <w:jc w:val="both"/>
        <w:rPr>
          <w:rFonts w:ascii="Cambria" w:eastAsia="Cambria" w:hAnsi="Cambria" w:cs="Cambria"/>
          <w:color w:val="000000"/>
        </w:rPr>
      </w:pPr>
      <w:r>
        <w:rPr>
          <w:rFonts w:ascii="Century Gothic" w:eastAsia="Century Gothic" w:hAnsi="Century Gothic" w:cs="Century Gothic"/>
          <w:color w:val="000000"/>
          <w:sz w:val="18"/>
          <w:szCs w:val="18"/>
        </w:rPr>
        <w:t xml:space="preserve">Correo electrónico: </w:t>
      </w:r>
      <w:r>
        <w:rPr>
          <w:rFonts w:ascii="Century Gothic" w:eastAsia="Century Gothic" w:hAnsi="Century Gothic" w:cs="Century Gothic"/>
          <w:color w:val="0000FF"/>
          <w:sz w:val="18"/>
          <w:szCs w:val="18"/>
        </w:rPr>
        <w:t xml:space="preserve">prensa@sergat.com   </w:t>
      </w:r>
    </w:p>
    <w:tbl>
      <w:tblPr>
        <w:tblStyle w:val="a1"/>
        <w:tblW w:w="5775" w:type="dxa"/>
        <w:jc w:val="center"/>
        <w:tblInd w:w="0" w:type="dxa"/>
        <w:tblLayout w:type="fixed"/>
        <w:tblLook w:val="0400" w:firstRow="0" w:lastRow="0" w:firstColumn="0" w:lastColumn="0" w:noHBand="0" w:noVBand="1"/>
      </w:tblPr>
      <w:tblGrid>
        <w:gridCol w:w="5775"/>
      </w:tblGrid>
      <w:tr w:rsidR="00161C70" w14:paraId="37528304" w14:textId="77777777">
        <w:trPr>
          <w:jc w:val="center"/>
        </w:trPr>
        <w:tc>
          <w:tcPr>
            <w:tcW w:w="5775" w:type="dxa"/>
            <w:vAlign w:val="center"/>
          </w:tcPr>
          <w:p w14:paraId="072F295D" w14:textId="77777777" w:rsidR="00161C70" w:rsidRDefault="00161C70">
            <w:pPr>
              <w:jc w:val="center"/>
              <w:rPr>
                <w:sz w:val="20"/>
                <w:szCs w:val="20"/>
              </w:rPr>
            </w:pPr>
          </w:p>
        </w:tc>
      </w:tr>
    </w:tbl>
    <w:p w14:paraId="73790D10" w14:textId="77777777" w:rsidR="00161C70" w:rsidRDefault="00000000">
      <w:pPr>
        <w:pBdr>
          <w:top w:val="nil"/>
          <w:left w:val="nil"/>
          <w:bottom w:val="nil"/>
          <w:right w:val="nil"/>
          <w:between w:val="nil"/>
        </w:pBdr>
        <w:spacing w:before="280" w:line="360" w:lineRule="auto"/>
        <w:jc w:val="center"/>
        <w:rPr>
          <w:rFonts w:ascii="Century Gothic" w:eastAsia="Century Gothic" w:hAnsi="Century Gothic" w:cs="Century Gothic"/>
          <w:b/>
          <w:bCs/>
        </w:rPr>
      </w:pPr>
      <w:r>
        <w:rPr>
          <w:rFonts w:ascii="Century Gothic" w:eastAsia="Century Gothic" w:hAnsi="Century Gothic" w:cs="Century Gothic"/>
          <w:b/>
          <w:bCs/>
        </w:rPr>
        <w:t xml:space="preserve">Una década cuidando de la salud y el bienestar: Emirates </w:t>
      </w:r>
      <w:proofErr w:type="spellStart"/>
      <w:r>
        <w:rPr>
          <w:rFonts w:ascii="Century Gothic" w:eastAsia="Century Gothic" w:hAnsi="Century Gothic" w:cs="Century Gothic"/>
          <w:b/>
          <w:bCs/>
        </w:rPr>
        <w:t>SkyCargo</w:t>
      </w:r>
      <w:proofErr w:type="spellEnd"/>
      <w:r>
        <w:rPr>
          <w:rFonts w:ascii="Century Gothic" w:eastAsia="Century Gothic" w:hAnsi="Century Gothic" w:cs="Century Gothic"/>
          <w:b/>
          <w:bCs/>
        </w:rPr>
        <w:t xml:space="preserve"> supera el millón de envíos farmacéuticos a través de Dubái</w:t>
      </w:r>
    </w:p>
    <w:p w14:paraId="05F70C23" w14:textId="77777777" w:rsidR="00161C70" w:rsidRDefault="00000000">
      <w:pPr>
        <w:numPr>
          <w:ilvl w:val="0"/>
          <w:numId w:val="3"/>
        </w:numPr>
        <w:pBdr>
          <w:top w:val="nil"/>
          <w:left w:val="nil"/>
          <w:bottom w:val="nil"/>
          <w:right w:val="nil"/>
          <w:between w:val="nil"/>
        </w:pBdr>
        <w:spacing w:before="280" w:line="360" w:lineRule="auto"/>
        <w:jc w:val="center"/>
        <w:rPr>
          <w:rFonts w:ascii="Century Gothic" w:eastAsia="Century Gothic" w:hAnsi="Century Gothic" w:cs="Century Gothic"/>
          <w:i/>
          <w:iCs/>
          <w:sz w:val="22"/>
          <w:szCs w:val="22"/>
        </w:rPr>
      </w:pPr>
      <w:r>
        <w:rPr>
          <w:rFonts w:ascii="Century Gothic" w:eastAsia="Century Gothic" w:hAnsi="Century Gothic" w:cs="Century Gothic"/>
          <w:i/>
          <w:iCs/>
          <w:color w:val="000000"/>
          <w:sz w:val="22"/>
          <w:szCs w:val="22"/>
        </w:rPr>
        <w:t xml:space="preserve">El operador de carga celebra 10 años desde el lanzamiento de su producto </w:t>
      </w:r>
      <w:proofErr w:type="spellStart"/>
      <w:r>
        <w:rPr>
          <w:rFonts w:ascii="Century Gothic" w:eastAsia="Century Gothic" w:hAnsi="Century Gothic" w:cs="Century Gothic"/>
          <w:i/>
          <w:iCs/>
          <w:color w:val="000000"/>
          <w:sz w:val="22"/>
          <w:szCs w:val="22"/>
        </w:rPr>
        <w:t>Pharma</w:t>
      </w:r>
      <w:proofErr w:type="spellEnd"/>
      <w:r>
        <w:rPr>
          <w:rFonts w:ascii="Century Gothic" w:eastAsia="Century Gothic" w:hAnsi="Century Gothic" w:cs="Century Gothic"/>
          <w:i/>
          <w:iCs/>
          <w:color w:val="000000"/>
          <w:sz w:val="22"/>
          <w:szCs w:val="22"/>
        </w:rPr>
        <w:t xml:space="preserve"> especializado y de una infraestructura de cadena de frío dedicada, certificada conforme a las Buenas Prácticas de Distribución (GDP), en su </w:t>
      </w:r>
      <w:r>
        <w:rPr>
          <w:rFonts w:ascii="Century Gothic" w:eastAsia="Century Gothic" w:hAnsi="Century Gothic" w:cs="Century Gothic"/>
          <w:i/>
          <w:iCs/>
          <w:sz w:val="22"/>
          <w:szCs w:val="22"/>
        </w:rPr>
        <w:t>‘</w:t>
      </w:r>
      <w:proofErr w:type="spellStart"/>
      <w:proofErr w:type="gramStart"/>
      <w:r>
        <w:rPr>
          <w:rFonts w:ascii="Century Gothic" w:eastAsia="Century Gothic" w:hAnsi="Century Gothic" w:cs="Century Gothic"/>
          <w:i/>
          <w:iCs/>
          <w:color w:val="000000"/>
          <w:sz w:val="22"/>
          <w:szCs w:val="22"/>
        </w:rPr>
        <w:t>hub</w:t>
      </w:r>
      <w:proofErr w:type="spellEnd"/>
      <w:proofErr w:type="gramEnd"/>
      <w:r>
        <w:rPr>
          <w:rFonts w:ascii="Century Gothic" w:eastAsia="Century Gothic" w:hAnsi="Century Gothic" w:cs="Century Gothic"/>
          <w:i/>
          <w:iCs/>
          <w:sz w:val="22"/>
          <w:szCs w:val="22"/>
        </w:rPr>
        <w:t>’</w:t>
      </w:r>
      <w:r>
        <w:rPr>
          <w:rFonts w:ascii="Century Gothic" w:eastAsia="Century Gothic" w:hAnsi="Century Gothic" w:cs="Century Gothic"/>
          <w:i/>
          <w:iCs/>
          <w:color w:val="000000"/>
          <w:sz w:val="22"/>
          <w:szCs w:val="22"/>
        </w:rPr>
        <w:t xml:space="preserve"> de Dubái</w:t>
      </w:r>
    </w:p>
    <w:p w14:paraId="71994ECA" w14:textId="77777777" w:rsidR="00161C70" w:rsidRDefault="00161C70">
      <w:pPr>
        <w:pBdr>
          <w:top w:val="nil"/>
          <w:left w:val="nil"/>
          <w:bottom w:val="nil"/>
          <w:right w:val="nil"/>
          <w:between w:val="nil"/>
        </w:pBdr>
        <w:spacing w:line="360" w:lineRule="auto"/>
        <w:jc w:val="center"/>
        <w:rPr>
          <w:rFonts w:ascii="Century Gothic" w:eastAsia="Century Gothic" w:hAnsi="Century Gothic" w:cs="Century Gothic"/>
          <w:i/>
          <w:iCs/>
          <w:sz w:val="22"/>
          <w:szCs w:val="22"/>
        </w:rPr>
      </w:pPr>
    </w:p>
    <w:p w14:paraId="21707E71" w14:textId="77777777" w:rsidR="00161C70" w:rsidRDefault="00000000">
      <w:pPr>
        <w:numPr>
          <w:ilvl w:val="0"/>
          <w:numId w:val="2"/>
        </w:numPr>
        <w:pBdr>
          <w:top w:val="nil"/>
          <w:left w:val="nil"/>
          <w:bottom w:val="nil"/>
          <w:right w:val="nil"/>
          <w:between w:val="nil"/>
        </w:pBdr>
        <w:spacing w:line="360" w:lineRule="auto"/>
        <w:jc w:val="center"/>
        <w:rPr>
          <w:rFonts w:ascii="Century Gothic" w:eastAsia="Century Gothic" w:hAnsi="Century Gothic" w:cs="Century Gothic"/>
          <w:i/>
          <w:iCs/>
          <w:color w:val="000000"/>
          <w:sz w:val="22"/>
          <w:szCs w:val="22"/>
        </w:rPr>
      </w:pPr>
      <w:r>
        <w:rPr>
          <w:rFonts w:ascii="Century Gothic" w:eastAsia="Century Gothic" w:hAnsi="Century Gothic" w:cs="Century Gothic"/>
          <w:i/>
          <w:iCs/>
          <w:color w:val="000000"/>
          <w:sz w:val="22"/>
          <w:szCs w:val="22"/>
        </w:rPr>
        <w:t>Entre 1,5 y 2 millones de kilogramos de productos farmacéuticos se transportan cada semana en vuelos de Emirates</w:t>
      </w:r>
    </w:p>
    <w:p w14:paraId="73AF6D78" w14:textId="77777777" w:rsidR="00161C70" w:rsidRDefault="00000000">
      <w:pPr>
        <w:pBdr>
          <w:top w:val="nil"/>
          <w:left w:val="nil"/>
          <w:bottom w:val="nil"/>
          <w:right w:val="nil"/>
          <w:between w:val="nil"/>
        </w:pBdr>
        <w:spacing w:before="280" w:line="360" w:lineRule="auto"/>
        <w:jc w:val="both"/>
        <w:rPr>
          <w:rFonts w:ascii="Century Gothic" w:eastAsia="Century Gothic" w:hAnsi="Century Gothic" w:cs="Century Gothic"/>
          <w:sz w:val="22"/>
          <w:szCs w:val="22"/>
        </w:rPr>
      </w:pPr>
      <w:r>
        <w:rPr>
          <w:rFonts w:ascii="Century Gothic" w:eastAsia="Century Gothic" w:hAnsi="Century Gothic" w:cs="Century Gothic"/>
          <w:b/>
          <w:bCs/>
          <w:sz w:val="22"/>
          <w:szCs w:val="22"/>
        </w:rPr>
        <w:t xml:space="preserve">Dubái, EAU, 2 de octubre de 2026: </w:t>
      </w:r>
      <w:r>
        <w:rPr>
          <w:rFonts w:ascii="Century Gothic" w:eastAsia="Century Gothic" w:hAnsi="Century Gothic" w:cs="Century Gothic"/>
          <w:sz w:val="22"/>
          <w:szCs w:val="22"/>
        </w:rPr>
        <w:t xml:space="preserve">Emirates </w:t>
      </w:r>
      <w:proofErr w:type="spellStart"/>
      <w:r>
        <w:rPr>
          <w:rFonts w:ascii="Century Gothic" w:eastAsia="Century Gothic" w:hAnsi="Century Gothic" w:cs="Century Gothic"/>
          <w:sz w:val="22"/>
          <w:szCs w:val="22"/>
        </w:rPr>
        <w:t>SkyCargo</w:t>
      </w:r>
      <w:proofErr w:type="spellEnd"/>
      <w:r>
        <w:rPr>
          <w:rFonts w:ascii="Century Gothic" w:eastAsia="Century Gothic" w:hAnsi="Century Gothic" w:cs="Century Gothic"/>
          <w:sz w:val="22"/>
          <w:szCs w:val="22"/>
        </w:rPr>
        <w:t xml:space="preserve"> celebra varios hitos importantes en el transporte de productos farmacéuticos sensibles al tiempo y a la temperatura, a través de Dubái.</w:t>
      </w:r>
    </w:p>
    <w:p w14:paraId="2C078C2E" w14:textId="77777777" w:rsidR="00161C70" w:rsidRDefault="00000000">
      <w:pPr>
        <w:pBdr>
          <w:top w:val="nil"/>
          <w:left w:val="nil"/>
          <w:bottom w:val="nil"/>
          <w:right w:val="nil"/>
          <w:between w:val="nil"/>
        </w:pBdr>
        <w:spacing w:before="280"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El operador de carga aérea celebra una década de inversiones en logística farmacéutica de primer nivel. En septiembre de 2016, lanzó su producto especializado para el transporte de productos farmacéuticos y presentó su </w:t>
      </w:r>
      <w:proofErr w:type="spellStart"/>
      <w:proofErr w:type="gramStart"/>
      <w:r>
        <w:rPr>
          <w:rFonts w:ascii="Century Gothic" w:eastAsia="Century Gothic" w:hAnsi="Century Gothic" w:cs="Century Gothic"/>
          <w:i/>
          <w:iCs/>
          <w:sz w:val="22"/>
          <w:szCs w:val="22"/>
        </w:rPr>
        <w:t>hub</w:t>
      </w:r>
      <w:proofErr w:type="spellEnd"/>
      <w:proofErr w:type="gramEnd"/>
      <w:r>
        <w:rPr>
          <w:rFonts w:ascii="Century Gothic" w:eastAsia="Century Gothic" w:hAnsi="Century Gothic" w:cs="Century Gothic"/>
          <w:sz w:val="22"/>
          <w:szCs w:val="22"/>
        </w:rPr>
        <w:t xml:space="preserve"> dedicado a la manipulación de productos farmacéuticos en Dubái, certificado conforme a las Buenas Prácticas de Distribución (GDP), garantizando los más altos estándares de calidad y manipulación con control de temperatura. Desde el lanzamiento de </w:t>
      </w:r>
      <w:proofErr w:type="spellStart"/>
      <w:r>
        <w:rPr>
          <w:rFonts w:ascii="Century Gothic" w:eastAsia="Century Gothic" w:hAnsi="Century Gothic" w:cs="Century Gothic"/>
          <w:sz w:val="22"/>
          <w:szCs w:val="22"/>
        </w:rPr>
        <w:t>Pharma</w:t>
      </w:r>
      <w:proofErr w:type="spellEnd"/>
      <w:r>
        <w:rPr>
          <w:rFonts w:ascii="Century Gothic" w:eastAsia="Century Gothic" w:hAnsi="Century Gothic" w:cs="Century Gothic"/>
          <w:sz w:val="22"/>
          <w:szCs w:val="22"/>
        </w:rPr>
        <w:t xml:space="preserve">, Emirates </w:t>
      </w:r>
      <w:proofErr w:type="spellStart"/>
      <w:r>
        <w:rPr>
          <w:rFonts w:ascii="Century Gothic" w:eastAsia="Century Gothic" w:hAnsi="Century Gothic" w:cs="Century Gothic"/>
          <w:sz w:val="22"/>
          <w:szCs w:val="22"/>
        </w:rPr>
        <w:t>SkyCargo</w:t>
      </w:r>
      <w:proofErr w:type="spellEnd"/>
      <w:r>
        <w:rPr>
          <w:rFonts w:ascii="Century Gothic" w:eastAsia="Century Gothic" w:hAnsi="Century Gothic" w:cs="Century Gothic"/>
          <w:sz w:val="22"/>
          <w:szCs w:val="22"/>
        </w:rPr>
        <w:t xml:space="preserve"> ha transportado más de un millón de envíos farmacéuticos, equivalentes a más de 800.000 toneladas de carga farmacéutica, conectando a fabricantes de productos farmacéuticos, proveedores sanitarios y pacientes en seis continentes.</w:t>
      </w:r>
    </w:p>
    <w:p w14:paraId="389996A8" w14:textId="77777777" w:rsidR="00161C70" w:rsidRDefault="00000000">
      <w:pPr>
        <w:pBdr>
          <w:top w:val="nil"/>
          <w:left w:val="nil"/>
          <w:bottom w:val="nil"/>
          <w:right w:val="nil"/>
          <w:between w:val="nil"/>
        </w:pBdr>
        <w:spacing w:before="280"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lastRenderedPageBreak/>
        <w:t xml:space="preserve">Este hito pone de relieve las capacidades y fortalezas de Emirates </w:t>
      </w:r>
      <w:proofErr w:type="spellStart"/>
      <w:r>
        <w:rPr>
          <w:rFonts w:ascii="Century Gothic" w:eastAsia="Century Gothic" w:hAnsi="Century Gothic" w:cs="Century Gothic"/>
          <w:sz w:val="22"/>
          <w:szCs w:val="22"/>
        </w:rPr>
        <w:t>SkyCargo</w:t>
      </w:r>
      <w:proofErr w:type="spellEnd"/>
      <w:r>
        <w:rPr>
          <w:rFonts w:ascii="Century Gothic" w:eastAsia="Century Gothic" w:hAnsi="Century Gothic" w:cs="Century Gothic"/>
          <w:sz w:val="22"/>
          <w:szCs w:val="22"/>
        </w:rPr>
        <w:t xml:space="preserve"> en logística farmacéutica, así como la consolidación de Dubái como uno de los principales </w:t>
      </w:r>
      <w:proofErr w:type="spellStart"/>
      <w:r>
        <w:rPr>
          <w:rFonts w:ascii="Century Gothic" w:eastAsia="Century Gothic" w:hAnsi="Century Gothic" w:cs="Century Gothic"/>
          <w:i/>
          <w:iCs/>
          <w:sz w:val="22"/>
          <w:szCs w:val="22"/>
        </w:rPr>
        <w:t>hubs</w:t>
      </w:r>
      <w:proofErr w:type="spellEnd"/>
      <w:r>
        <w:rPr>
          <w:rFonts w:ascii="Century Gothic" w:eastAsia="Century Gothic" w:hAnsi="Century Gothic" w:cs="Century Gothic"/>
          <w:sz w:val="22"/>
          <w:szCs w:val="22"/>
        </w:rPr>
        <w:t xml:space="preserve"> globales para el transporte rápido y fluido de productos farmacéuticos sensibles a la temperatura. Actualmente, el </w:t>
      </w:r>
      <w:proofErr w:type="spellStart"/>
      <w:proofErr w:type="gramStart"/>
      <w:r>
        <w:rPr>
          <w:rFonts w:ascii="Century Gothic" w:eastAsia="Century Gothic" w:hAnsi="Century Gothic" w:cs="Century Gothic"/>
          <w:i/>
          <w:iCs/>
          <w:sz w:val="22"/>
          <w:szCs w:val="22"/>
        </w:rPr>
        <w:t>hub</w:t>
      </w:r>
      <w:proofErr w:type="spellEnd"/>
      <w:proofErr w:type="gramEnd"/>
      <w:r>
        <w:rPr>
          <w:rFonts w:ascii="Century Gothic" w:eastAsia="Century Gothic" w:hAnsi="Century Gothic" w:cs="Century Gothic"/>
          <w:sz w:val="22"/>
          <w:szCs w:val="22"/>
        </w:rPr>
        <w:t xml:space="preserve"> de Emirates </w:t>
      </w:r>
      <w:proofErr w:type="spellStart"/>
      <w:r>
        <w:rPr>
          <w:rFonts w:ascii="Century Gothic" w:eastAsia="Century Gothic" w:hAnsi="Century Gothic" w:cs="Century Gothic"/>
          <w:sz w:val="22"/>
          <w:szCs w:val="22"/>
        </w:rPr>
        <w:t>SkyCargo</w:t>
      </w:r>
      <w:proofErr w:type="spellEnd"/>
      <w:r>
        <w:rPr>
          <w:rFonts w:ascii="Century Gothic" w:eastAsia="Century Gothic" w:hAnsi="Century Gothic" w:cs="Century Gothic"/>
          <w:sz w:val="22"/>
          <w:szCs w:val="22"/>
        </w:rPr>
        <w:t xml:space="preserve"> en Dubái cuenta con más de 16.500 metros cuadrados de superficie de manipulación y almacenamiento certificada conforme a GDP en DXB y DWC, además de una flota dedicada de más de 55 </w:t>
      </w:r>
      <w:proofErr w:type="spellStart"/>
      <w:r>
        <w:rPr>
          <w:rFonts w:ascii="Century Gothic" w:eastAsia="Century Gothic" w:hAnsi="Century Gothic" w:cs="Century Gothic"/>
          <w:i/>
          <w:iCs/>
          <w:sz w:val="22"/>
          <w:szCs w:val="22"/>
        </w:rPr>
        <w:t>cool</w:t>
      </w:r>
      <w:proofErr w:type="spellEnd"/>
      <w:r>
        <w:rPr>
          <w:rFonts w:ascii="Century Gothic" w:eastAsia="Century Gothic" w:hAnsi="Century Gothic" w:cs="Century Gothic"/>
          <w:i/>
          <w:iCs/>
          <w:sz w:val="22"/>
          <w:szCs w:val="22"/>
        </w:rPr>
        <w:t xml:space="preserve"> </w:t>
      </w:r>
      <w:proofErr w:type="spellStart"/>
      <w:r>
        <w:rPr>
          <w:rFonts w:ascii="Century Gothic" w:eastAsia="Century Gothic" w:hAnsi="Century Gothic" w:cs="Century Gothic"/>
          <w:i/>
          <w:iCs/>
          <w:sz w:val="22"/>
          <w:szCs w:val="22"/>
        </w:rPr>
        <w:t>dollies</w:t>
      </w:r>
      <w:proofErr w:type="spellEnd"/>
      <w:r>
        <w:rPr>
          <w:rFonts w:ascii="Century Gothic" w:eastAsia="Century Gothic" w:hAnsi="Century Gothic" w:cs="Century Gothic"/>
          <w:sz w:val="22"/>
          <w:szCs w:val="22"/>
        </w:rPr>
        <w:t xml:space="preserve"> para carga farmacéutica. Los </w:t>
      </w:r>
      <w:proofErr w:type="spellStart"/>
      <w:r>
        <w:rPr>
          <w:rFonts w:ascii="Century Gothic" w:eastAsia="Century Gothic" w:hAnsi="Century Gothic" w:cs="Century Gothic"/>
          <w:i/>
          <w:iCs/>
          <w:sz w:val="22"/>
          <w:szCs w:val="22"/>
        </w:rPr>
        <w:t>cool</w:t>
      </w:r>
      <w:proofErr w:type="spellEnd"/>
      <w:r>
        <w:rPr>
          <w:rFonts w:ascii="Century Gothic" w:eastAsia="Century Gothic" w:hAnsi="Century Gothic" w:cs="Century Gothic"/>
          <w:i/>
          <w:iCs/>
          <w:sz w:val="22"/>
          <w:szCs w:val="22"/>
        </w:rPr>
        <w:t xml:space="preserve"> </w:t>
      </w:r>
      <w:proofErr w:type="spellStart"/>
      <w:r>
        <w:rPr>
          <w:rFonts w:ascii="Century Gothic" w:eastAsia="Century Gothic" w:hAnsi="Century Gothic" w:cs="Century Gothic"/>
          <w:i/>
          <w:iCs/>
          <w:sz w:val="22"/>
          <w:szCs w:val="22"/>
        </w:rPr>
        <w:t>dollies</w:t>
      </w:r>
      <w:proofErr w:type="spellEnd"/>
      <w:r>
        <w:rPr>
          <w:rFonts w:ascii="Century Gothic" w:eastAsia="Century Gothic" w:hAnsi="Century Gothic" w:cs="Century Gothic"/>
          <w:sz w:val="22"/>
          <w:szCs w:val="22"/>
        </w:rPr>
        <w:t xml:space="preserve"> son contenedores móviles con temperatura controlada que mantienen la temperatura del envío durante todo el traslado, desde la bodega del avión hasta la terminal, o viceversa, así como durante los traslados rápidos en plataforma entre dos aeronaves.</w:t>
      </w:r>
    </w:p>
    <w:p w14:paraId="77356B9E" w14:textId="77777777" w:rsidR="00161C70" w:rsidRDefault="00000000">
      <w:pPr>
        <w:pBdr>
          <w:top w:val="nil"/>
          <w:left w:val="nil"/>
          <w:bottom w:val="nil"/>
          <w:right w:val="nil"/>
          <w:between w:val="nil"/>
        </w:pBdr>
        <w:spacing w:before="280"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De media, Emirates </w:t>
      </w:r>
      <w:proofErr w:type="spellStart"/>
      <w:r>
        <w:rPr>
          <w:rFonts w:ascii="Century Gothic" w:eastAsia="Century Gothic" w:hAnsi="Century Gothic" w:cs="Century Gothic"/>
          <w:sz w:val="22"/>
          <w:szCs w:val="22"/>
        </w:rPr>
        <w:t>SkyCargo</w:t>
      </w:r>
      <w:proofErr w:type="spellEnd"/>
      <w:r>
        <w:rPr>
          <w:rFonts w:ascii="Century Gothic" w:eastAsia="Century Gothic" w:hAnsi="Century Gothic" w:cs="Century Gothic"/>
          <w:sz w:val="22"/>
          <w:szCs w:val="22"/>
        </w:rPr>
        <w:t xml:space="preserve"> transporta entre 1,5 y 2 millones de kilogramos de productos farmacéuticos cada semana en sus vuelos.</w:t>
      </w:r>
    </w:p>
    <w:p w14:paraId="576E7C44" w14:textId="77777777" w:rsidR="00161C70" w:rsidRDefault="00000000">
      <w:pPr>
        <w:pBdr>
          <w:top w:val="nil"/>
          <w:left w:val="nil"/>
          <w:bottom w:val="nil"/>
          <w:right w:val="nil"/>
          <w:between w:val="nil"/>
        </w:pBdr>
        <w:spacing w:before="280"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Badr Abbas, Senior Vice President Divisional de Emirates </w:t>
      </w:r>
      <w:proofErr w:type="spellStart"/>
      <w:r>
        <w:rPr>
          <w:rFonts w:ascii="Century Gothic" w:eastAsia="Century Gothic" w:hAnsi="Century Gothic" w:cs="Century Gothic"/>
          <w:sz w:val="22"/>
          <w:szCs w:val="22"/>
        </w:rPr>
        <w:t>SkyCargo</w:t>
      </w:r>
      <w:proofErr w:type="spellEnd"/>
      <w:r>
        <w:rPr>
          <w:rFonts w:ascii="Century Gothic" w:eastAsia="Century Gothic" w:hAnsi="Century Gothic" w:cs="Century Gothic"/>
          <w:sz w:val="22"/>
          <w:szCs w:val="22"/>
        </w:rPr>
        <w:t xml:space="preserve">, afirmó: “Durante la última década, Emirates </w:t>
      </w:r>
      <w:proofErr w:type="spellStart"/>
      <w:r>
        <w:rPr>
          <w:rFonts w:ascii="Century Gothic" w:eastAsia="Century Gothic" w:hAnsi="Century Gothic" w:cs="Century Gothic"/>
          <w:sz w:val="22"/>
          <w:szCs w:val="22"/>
        </w:rPr>
        <w:t>SkyCargo</w:t>
      </w:r>
      <w:proofErr w:type="spellEnd"/>
      <w:r>
        <w:rPr>
          <w:rFonts w:ascii="Century Gothic" w:eastAsia="Century Gothic" w:hAnsi="Century Gothic" w:cs="Century Gothic"/>
          <w:sz w:val="22"/>
          <w:szCs w:val="22"/>
        </w:rPr>
        <w:t xml:space="preserve"> se ha convertido en el referente para el transporte aéreo de productos farmacéuticos. Esto no ha sucedido por casualidad. Es el resultado de años de inversión en nuestros procesos, nuestras capacidades, nuestro personal y nuestra infraestructura. También es fruto del trabajo conjunto con expedidores farmacéuticos, transitarios, aeropuertos, operadores de asistencia en tierra, proveedores de transporte multimodal y otros actores del ecosistema de la cadena de frío para desarrollar soluciones personalizadas que respondan a las necesidades del sector. También evolucionamos constantemente nuestra oferta para mantenernos al día con los últimos avances. En última instancia, sólo tenemos un objetivo: asegurarnos de transportar estos medicamentos y tratamientos que salvan vidas en las mejores condiciones posibles, ya que tienen un impacto directo en la vida de personas de todo el mundo”.</w:t>
      </w:r>
    </w:p>
    <w:p w14:paraId="44A21DE3" w14:textId="77777777" w:rsidR="00161C70" w:rsidRDefault="00000000">
      <w:pPr>
        <w:pBdr>
          <w:top w:val="nil"/>
          <w:left w:val="nil"/>
          <w:bottom w:val="nil"/>
          <w:right w:val="nil"/>
          <w:between w:val="nil"/>
        </w:pBdr>
        <w:spacing w:before="280" w:line="360" w:lineRule="auto"/>
        <w:jc w:val="both"/>
        <w:rPr>
          <w:rFonts w:ascii="Century Gothic" w:eastAsia="Century Gothic" w:hAnsi="Century Gothic" w:cs="Century Gothic"/>
          <w:b/>
          <w:bCs/>
          <w:sz w:val="22"/>
          <w:szCs w:val="22"/>
        </w:rPr>
      </w:pPr>
      <w:r>
        <w:rPr>
          <w:rFonts w:ascii="Century Gothic" w:eastAsia="Century Gothic" w:hAnsi="Century Gothic" w:cs="Century Gothic"/>
          <w:b/>
          <w:bCs/>
          <w:sz w:val="22"/>
          <w:szCs w:val="22"/>
        </w:rPr>
        <w:t>Conectando los mercados farmacéuticos mundiales a través de Dubái</w:t>
      </w:r>
    </w:p>
    <w:p w14:paraId="1A61577F" w14:textId="77777777" w:rsidR="00161C70" w:rsidRDefault="00000000">
      <w:pPr>
        <w:pBdr>
          <w:top w:val="nil"/>
          <w:left w:val="nil"/>
          <w:bottom w:val="nil"/>
          <w:right w:val="nil"/>
          <w:between w:val="nil"/>
        </w:pBdr>
        <w:spacing w:before="280"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Emirates </w:t>
      </w:r>
      <w:proofErr w:type="spellStart"/>
      <w:r>
        <w:rPr>
          <w:rFonts w:ascii="Century Gothic" w:eastAsia="Century Gothic" w:hAnsi="Century Gothic" w:cs="Century Gothic"/>
          <w:sz w:val="22"/>
          <w:szCs w:val="22"/>
        </w:rPr>
        <w:t>SkyCargo</w:t>
      </w:r>
      <w:proofErr w:type="spellEnd"/>
      <w:r>
        <w:rPr>
          <w:rFonts w:ascii="Century Gothic" w:eastAsia="Century Gothic" w:hAnsi="Century Gothic" w:cs="Century Gothic"/>
          <w:sz w:val="22"/>
          <w:szCs w:val="22"/>
        </w:rPr>
        <w:t xml:space="preserve"> facilita el movimiento de productos farmacéuticos entre mercados globales, conectando los principales centros de fabricación de ciencias de la vida con </w:t>
      </w:r>
      <w:r>
        <w:rPr>
          <w:rFonts w:ascii="Century Gothic" w:eastAsia="Century Gothic" w:hAnsi="Century Gothic" w:cs="Century Gothic"/>
          <w:sz w:val="22"/>
          <w:szCs w:val="22"/>
        </w:rPr>
        <w:lastRenderedPageBreak/>
        <w:t xml:space="preserve">proveedores sanitarios de todo el mundo. Algunos de los principales mercados de origen de productos farmacéuticos para Emirates </w:t>
      </w:r>
      <w:proofErr w:type="spellStart"/>
      <w:r>
        <w:rPr>
          <w:rFonts w:ascii="Century Gothic" w:eastAsia="Century Gothic" w:hAnsi="Century Gothic" w:cs="Century Gothic"/>
          <w:sz w:val="22"/>
          <w:szCs w:val="22"/>
        </w:rPr>
        <w:t>SkyCargo</w:t>
      </w:r>
      <w:proofErr w:type="spellEnd"/>
      <w:r>
        <w:rPr>
          <w:rFonts w:ascii="Century Gothic" w:eastAsia="Century Gothic" w:hAnsi="Century Gothic" w:cs="Century Gothic"/>
          <w:sz w:val="22"/>
          <w:szCs w:val="22"/>
        </w:rPr>
        <w:t xml:space="preserve"> son India, Alemania, Bélgica, Reino Unido, Estados Unidos y Suiza. Gracias a su extensa red global, su capacidad de vuelos de fuselaje ancho de alta frecuencia y su infraestructura farmacéutica especialmente diseñada en Dubái, Emirates </w:t>
      </w:r>
      <w:proofErr w:type="spellStart"/>
      <w:r>
        <w:rPr>
          <w:rFonts w:ascii="Century Gothic" w:eastAsia="Century Gothic" w:hAnsi="Century Gothic" w:cs="Century Gothic"/>
          <w:sz w:val="22"/>
          <w:szCs w:val="22"/>
        </w:rPr>
        <w:t>SkyCargo</w:t>
      </w:r>
      <w:proofErr w:type="spellEnd"/>
      <w:r>
        <w:rPr>
          <w:rFonts w:ascii="Century Gothic" w:eastAsia="Century Gothic" w:hAnsi="Century Gothic" w:cs="Century Gothic"/>
          <w:sz w:val="22"/>
          <w:szCs w:val="22"/>
        </w:rPr>
        <w:t xml:space="preserve"> ofrece una conectividad fluida para la carga farmacéutica.</w:t>
      </w:r>
    </w:p>
    <w:p w14:paraId="2366684C" w14:textId="77777777" w:rsidR="00161C70" w:rsidRDefault="00000000">
      <w:pPr>
        <w:pBdr>
          <w:top w:val="nil"/>
          <w:left w:val="nil"/>
          <w:bottom w:val="nil"/>
          <w:right w:val="nil"/>
          <w:between w:val="nil"/>
        </w:pBdr>
        <w:spacing w:before="280" w:line="360" w:lineRule="auto"/>
        <w:jc w:val="both"/>
        <w:rPr>
          <w:rFonts w:ascii="Century Gothic" w:eastAsia="Century Gothic" w:hAnsi="Century Gothic" w:cs="Century Gothic"/>
          <w:b/>
          <w:bCs/>
          <w:sz w:val="22"/>
          <w:szCs w:val="22"/>
        </w:rPr>
      </w:pPr>
      <w:r>
        <w:rPr>
          <w:rFonts w:ascii="Century Gothic" w:eastAsia="Century Gothic" w:hAnsi="Century Gothic" w:cs="Century Gothic"/>
          <w:b/>
          <w:bCs/>
          <w:sz w:val="22"/>
          <w:szCs w:val="22"/>
        </w:rPr>
        <w:t>Una década de innovación en logística farmacéutica</w:t>
      </w:r>
    </w:p>
    <w:p w14:paraId="2ABBF830" w14:textId="77777777" w:rsidR="00161C70" w:rsidRDefault="00000000">
      <w:pPr>
        <w:pBdr>
          <w:top w:val="nil"/>
          <w:left w:val="nil"/>
          <w:bottom w:val="nil"/>
          <w:right w:val="nil"/>
          <w:between w:val="nil"/>
        </w:pBdr>
        <w:spacing w:before="280"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El lanzamiento de Emirates </w:t>
      </w:r>
      <w:proofErr w:type="spellStart"/>
      <w:r>
        <w:rPr>
          <w:rFonts w:ascii="Century Gothic" w:eastAsia="Century Gothic" w:hAnsi="Century Gothic" w:cs="Century Gothic"/>
          <w:sz w:val="22"/>
          <w:szCs w:val="22"/>
        </w:rPr>
        <w:t>Pharma</w:t>
      </w:r>
      <w:proofErr w:type="spellEnd"/>
      <w:r>
        <w:rPr>
          <w:rFonts w:ascii="Century Gothic" w:eastAsia="Century Gothic" w:hAnsi="Century Gothic" w:cs="Century Gothic"/>
          <w:sz w:val="22"/>
          <w:szCs w:val="22"/>
        </w:rPr>
        <w:t xml:space="preserve"> en 2016 marcó un hito importante en la estrategia de Emirates </w:t>
      </w:r>
      <w:proofErr w:type="spellStart"/>
      <w:r>
        <w:rPr>
          <w:rFonts w:ascii="Century Gothic" w:eastAsia="Century Gothic" w:hAnsi="Century Gothic" w:cs="Century Gothic"/>
          <w:sz w:val="22"/>
          <w:szCs w:val="22"/>
        </w:rPr>
        <w:t>SkyCargo</w:t>
      </w:r>
      <w:proofErr w:type="spellEnd"/>
      <w:r>
        <w:rPr>
          <w:rFonts w:ascii="Century Gothic" w:eastAsia="Century Gothic" w:hAnsi="Century Gothic" w:cs="Century Gothic"/>
          <w:sz w:val="22"/>
          <w:szCs w:val="22"/>
        </w:rPr>
        <w:t xml:space="preserve"> para desarrollar soluciones de carga especializadas para diferentes sectores verticales. Como apoyo a su solución farmacéutica, el operador inauguró en Dubái unas instalaciones dedicadas a la manipulación de productos farmacéuticos certificadas conforme a GDP, creando un entorno específicamente diseñado para el almacenamiento, la manipulación y el transporte de medicamentos sensibles a la temperatura.</w:t>
      </w:r>
    </w:p>
    <w:p w14:paraId="082D1558" w14:textId="77777777" w:rsidR="00161C70" w:rsidRDefault="00000000">
      <w:pPr>
        <w:pBdr>
          <w:top w:val="nil"/>
          <w:left w:val="nil"/>
          <w:bottom w:val="nil"/>
          <w:right w:val="nil"/>
          <w:between w:val="nil"/>
        </w:pBdr>
        <w:spacing w:before="280"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Durante la década siguiente, Emirates </w:t>
      </w:r>
      <w:proofErr w:type="spellStart"/>
      <w:r>
        <w:rPr>
          <w:rFonts w:ascii="Century Gothic" w:eastAsia="Century Gothic" w:hAnsi="Century Gothic" w:cs="Century Gothic"/>
          <w:sz w:val="22"/>
          <w:szCs w:val="22"/>
        </w:rPr>
        <w:t>SkyCargo</w:t>
      </w:r>
      <w:proofErr w:type="spellEnd"/>
      <w:r>
        <w:rPr>
          <w:rFonts w:ascii="Century Gothic" w:eastAsia="Century Gothic" w:hAnsi="Century Gothic" w:cs="Century Gothic"/>
          <w:sz w:val="22"/>
          <w:szCs w:val="22"/>
        </w:rPr>
        <w:t xml:space="preserve"> continuó invirtiendo en infraestructuras, equipos y servicios especializados para responder a las necesidades cambiantes de los expedidores farmacéuticos y los proveedores sanitarios. Entre los principales hitos se incluyen:</w:t>
      </w:r>
    </w:p>
    <w:p w14:paraId="44988485" w14:textId="77777777" w:rsidR="00161C70" w:rsidRDefault="00000000">
      <w:pPr>
        <w:numPr>
          <w:ilvl w:val="0"/>
          <w:numId w:val="1"/>
        </w:numPr>
        <w:pBdr>
          <w:top w:val="nil"/>
          <w:left w:val="nil"/>
          <w:bottom w:val="nil"/>
          <w:right w:val="nil"/>
          <w:between w:val="nil"/>
        </w:pBdr>
        <w:spacing w:before="280"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2017: inicio de colaboraciones clave con fabricantes especializados de contenedores para el transporte a bordo de productos farmacéuticos con requisitos de temperatura muy específicos.</w:t>
      </w:r>
    </w:p>
    <w:p w14:paraId="2A20BAF5" w14:textId="77777777" w:rsidR="00161C70" w:rsidRDefault="00000000">
      <w:pPr>
        <w:numPr>
          <w:ilvl w:val="0"/>
          <w:numId w:val="1"/>
        </w:numPr>
        <w:pBdr>
          <w:top w:val="nil"/>
          <w:left w:val="nil"/>
          <w:bottom w:val="nil"/>
          <w:right w:val="nil"/>
          <w:between w:val="nil"/>
        </w:pBdr>
        <w:spacing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2018: lanzamiento de </w:t>
      </w:r>
      <w:r>
        <w:rPr>
          <w:rFonts w:ascii="Century Gothic" w:eastAsia="Century Gothic" w:hAnsi="Century Gothic" w:cs="Century Gothic"/>
          <w:i/>
          <w:iCs/>
          <w:sz w:val="22"/>
          <w:szCs w:val="22"/>
        </w:rPr>
        <w:t xml:space="preserve">Emirates </w:t>
      </w:r>
      <w:proofErr w:type="spellStart"/>
      <w:r>
        <w:rPr>
          <w:rFonts w:ascii="Century Gothic" w:eastAsia="Century Gothic" w:hAnsi="Century Gothic" w:cs="Century Gothic"/>
          <w:i/>
          <w:iCs/>
          <w:sz w:val="22"/>
          <w:szCs w:val="22"/>
        </w:rPr>
        <w:t>Pharma</w:t>
      </w:r>
      <w:proofErr w:type="spellEnd"/>
      <w:r>
        <w:rPr>
          <w:rFonts w:ascii="Century Gothic" w:eastAsia="Century Gothic" w:hAnsi="Century Gothic" w:cs="Century Gothic"/>
          <w:i/>
          <w:iCs/>
          <w:sz w:val="22"/>
          <w:szCs w:val="22"/>
        </w:rPr>
        <w:t xml:space="preserve"> Corridors</w:t>
      </w:r>
      <w:r>
        <w:rPr>
          <w:rFonts w:ascii="Century Gothic" w:eastAsia="Century Gothic" w:hAnsi="Century Gothic" w:cs="Century Gothic"/>
          <w:sz w:val="22"/>
          <w:szCs w:val="22"/>
        </w:rPr>
        <w:t xml:space="preserve">, conectando </w:t>
      </w:r>
      <w:proofErr w:type="spellStart"/>
      <w:r>
        <w:rPr>
          <w:rFonts w:ascii="Century Gothic" w:eastAsia="Century Gothic" w:hAnsi="Century Gothic" w:cs="Century Gothic"/>
          <w:i/>
          <w:iCs/>
          <w:sz w:val="22"/>
          <w:szCs w:val="22"/>
        </w:rPr>
        <w:t>hubs</w:t>
      </w:r>
      <w:proofErr w:type="spellEnd"/>
      <w:r>
        <w:rPr>
          <w:rFonts w:ascii="Century Gothic" w:eastAsia="Century Gothic" w:hAnsi="Century Gothic" w:cs="Century Gothic"/>
          <w:sz w:val="22"/>
          <w:szCs w:val="22"/>
        </w:rPr>
        <w:t xml:space="preserve"> farmacéuticos de gran volumen. Emirates </w:t>
      </w:r>
      <w:proofErr w:type="spellStart"/>
      <w:r>
        <w:rPr>
          <w:rFonts w:ascii="Century Gothic" w:eastAsia="Century Gothic" w:hAnsi="Century Gothic" w:cs="Century Gothic"/>
          <w:sz w:val="22"/>
          <w:szCs w:val="22"/>
        </w:rPr>
        <w:t>SkyCargo</w:t>
      </w:r>
      <w:proofErr w:type="spellEnd"/>
      <w:r>
        <w:rPr>
          <w:rFonts w:ascii="Century Gothic" w:eastAsia="Century Gothic" w:hAnsi="Century Gothic" w:cs="Century Gothic"/>
          <w:sz w:val="22"/>
          <w:szCs w:val="22"/>
        </w:rPr>
        <w:t xml:space="preserve"> se asoció con aeropuertos y operadores locales de asistencia en tierra para proteger la integridad del producto desde el origen hasta el destino.</w:t>
      </w:r>
    </w:p>
    <w:p w14:paraId="44B11E46" w14:textId="77777777" w:rsidR="00161C70" w:rsidRDefault="00000000">
      <w:pPr>
        <w:numPr>
          <w:ilvl w:val="0"/>
          <w:numId w:val="1"/>
        </w:numPr>
        <w:pBdr>
          <w:top w:val="nil"/>
          <w:left w:val="nil"/>
          <w:bottom w:val="nil"/>
          <w:right w:val="nil"/>
          <w:between w:val="nil"/>
        </w:pBdr>
        <w:spacing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2020-2022: durante la pandemia, Emirates </w:t>
      </w:r>
      <w:proofErr w:type="spellStart"/>
      <w:r>
        <w:rPr>
          <w:rFonts w:ascii="Century Gothic" w:eastAsia="Century Gothic" w:hAnsi="Century Gothic" w:cs="Century Gothic"/>
          <w:sz w:val="22"/>
          <w:szCs w:val="22"/>
        </w:rPr>
        <w:t>SkyCargo</w:t>
      </w:r>
      <w:proofErr w:type="spellEnd"/>
      <w:r>
        <w:rPr>
          <w:rFonts w:ascii="Century Gothic" w:eastAsia="Century Gothic" w:hAnsi="Century Gothic" w:cs="Century Gothic"/>
          <w:sz w:val="22"/>
          <w:szCs w:val="22"/>
        </w:rPr>
        <w:t xml:space="preserve"> desempeñó un papel fundamental en la logística sanitaria mundial, incluida la creación de un </w:t>
      </w:r>
      <w:proofErr w:type="spellStart"/>
      <w:proofErr w:type="gramStart"/>
      <w:r>
        <w:rPr>
          <w:rFonts w:ascii="Century Gothic" w:eastAsia="Century Gothic" w:hAnsi="Century Gothic" w:cs="Century Gothic"/>
          <w:i/>
          <w:iCs/>
          <w:sz w:val="22"/>
          <w:szCs w:val="22"/>
        </w:rPr>
        <w:t>hub</w:t>
      </w:r>
      <w:proofErr w:type="spellEnd"/>
      <w:proofErr w:type="gramEnd"/>
      <w:r>
        <w:rPr>
          <w:rFonts w:ascii="Century Gothic" w:eastAsia="Century Gothic" w:hAnsi="Century Gothic" w:cs="Century Gothic"/>
          <w:sz w:val="22"/>
          <w:szCs w:val="22"/>
        </w:rPr>
        <w:t xml:space="preserve"> </w:t>
      </w:r>
      <w:r>
        <w:rPr>
          <w:rFonts w:ascii="Century Gothic" w:eastAsia="Century Gothic" w:hAnsi="Century Gothic" w:cs="Century Gothic"/>
          <w:sz w:val="22"/>
          <w:szCs w:val="22"/>
        </w:rPr>
        <w:lastRenderedPageBreak/>
        <w:t>dedicado y certificado conforme a GDP para el transporte de vacunas y el traslado de más de mil millones de dosis de vacunas.</w:t>
      </w:r>
    </w:p>
    <w:p w14:paraId="59E33207" w14:textId="77777777" w:rsidR="00161C70" w:rsidRDefault="00000000">
      <w:pPr>
        <w:numPr>
          <w:ilvl w:val="0"/>
          <w:numId w:val="1"/>
        </w:numPr>
        <w:pBdr>
          <w:top w:val="nil"/>
          <w:left w:val="nil"/>
          <w:bottom w:val="nil"/>
          <w:right w:val="nil"/>
          <w:between w:val="nil"/>
        </w:pBdr>
        <w:spacing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2023: Emirates </w:t>
      </w:r>
      <w:proofErr w:type="spellStart"/>
      <w:r>
        <w:rPr>
          <w:rFonts w:ascii="Century Gothic" w:eastAsia="Century Gothic" w:hAnsi="Century Gothic" w:cs="Century Gothic"/>
          <w:sz w:val="22"/>
          <w:szCs w:val="22"/>
        </w:rPr>
        <w:t>SkyCargo</w:t>
      </w:r>
      <w:proofErr w:type="spellEnd"/>
      <w:r>
        <w:rPr>
          <w:rFonts w:ascii="Century Gothic" w:eastAsia="Century Gothic" w:hAnsi="Century Gothic" w:cs="Century Gothic"/>
          <w:sz w:val="22"/>
          <w:szCs w:val="22"/>
        </w:rPr>
        <w:t xml:space="preserve"> amplió su oferta con el lanzamiento de </w:t>
      </w:r>
      <w:r>
        <w:rPr>
          <w:rFonts w:ascii="Century Gothic" w:eastAsia="Century Gothic" w:hAnsi="Century Gothic" w:cs="Century Gothic"/>
          <w:i/>
          <w:iCs/>
          <w:sz w:val="22"/>
          <w:szCs w:val="22"/>
        </w:rPr>
        <w:t>Emirates Vital</w:t>
      </w:r>
      <w:r>
        <w:rPr>
          <w:rFonts w:ascii="Century Gothic" w:eastAsia="Century Gothic" w:hAnsi="Century Gothic" w:cs="Century Gothic"/>
          <w:sz w:val="22"/>
          <w:szCs w:val="22"/>
        </w:rPr>
        <w:t xml:space="preserve"> y </w:t>
      </w:r>
      <w:r>
        <w:rPr>
          <w:rFonts w:ascii="Century Gothic" w:eastAsia="Century Gothic" w:hAnsi="Century Gothic" w:cs="Century Gothic"/>
          <w:i/>
          <w:iCs/>
          <w:sz w:val="22"/>
          <w:szCs w:val="22"/>
        </w:rPr>
        <w:t xml:space="preserve">Emirates Medical </w:t>
      </w:r>
      <w:proofErr w:type="spellStart"/>
      <w:r>
        <w:rPr>
          <w:rFonts w:ascii="Century Gothic" w:eastAsia="Century Gothic" w:hAnsi="Century Gothic" w:cs="Century Gothic"/>
          <w:i/>
          <w:iCs/>
          <w:sz w:val="22"/>
          <w:szCs w:val="22"/>
        </w:rPr>
        <w:t>Devices</w:t>
      </w:r>
      <w:proofErr w:type="spellEnd"/>
      <w:r>
        <w:rPr>
          <w:rFonts w:ascii="Century Gothic" w:eastAsia="Century Gothic" w:hAnsi="Century Gothic" w:cs="Century Gothic"/>
          <w:sz w:val="22"/>
          <w:szCs w:val="22"/>
        </w:rPr>
        <w:t>, proporcionando soluciones especializadas para el transporte de envíos sanitarios críticos, incluidos órganos humanos, tejidos, terapias celulares y génicas, materiales para ensayos clínicos y equipos médicos.</w:t>
      </w:r>
    </w:p>
    <w:p w14:paraId="7C032522" w14:textId="77777777" w:rsidR="00161C70" w:rsidRDefault="00000000">
      <w:pPr>
        <w:numPr>
          <w:ilvl w:val="0"/>
          <w:numId w:val="1"/>
        </w:numPr>
        <w:pBdr>
          <w:top w:val="nil"/>
          <w:left w:val="nil"/>
          <w:bottom w:val="nil"/>
          <w:right w:val="nil"/>
          <w:between w:val="nil"/>
        </w:pBdr>
        <w:spacing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2025: la red farmacéutica de Emirates </w:t>
      </w:r>
      <w:proofErr w:type="spellStart"/>
      <w:r>
        <w:rPr>
          <w:rFonts w:ascii="Century Gothic" w:eastAsia="Century Gothic" w:hAnsi="Century Gothic" w:cs="Century Gothic"/>
          <w:sz w:val="22"/>
          <w:szCs w:val="22"/>
        </w:rPr>
        <w:t>SkyCargo</w:t>
      </w:r>
      <w:proofErr w:type="spellEnd"/>
      <w:r>
        <w:rPr>
          <w:rFonts w:ascii="Century Gothic" w:eastAsia="Century Gothic" w:hAnsi="Century Gothic" w:cs="Century Gothic"/>
          <w:sz w:val="22"/>
          <w:szCs w:val="22"/>
        </w:rPr>
        <w:t xml:space="preserve"> alcanzó 43 estaciones farmacéuticas en todo el mundo y estableció corredores específicos de temperatura de 2-8 °C en determinados </w:t>
      </w:r>
      <w:proofErr w:type="spellStart"/>
      <w:r>
        <w:rPr>
          <w:rFonts w:ascii="Century Gothic" w:eastAsia="Century Gothic" w:hAnsi="Century Gothic" w:cs="Century Gothic"/>
          <w:i/>
          <w:iCs/>
          <w:sz w:val="22"/>
          <w:szCs w:val="22"/>
        </w:rPr>
        <w:t>hubs</w:t>
      </w:r>
      <w:proofErr w:type="spellEnd"/>
      <w:r>
        <w:rPr>
          <w:rFonts w:ascii="Century Gothic" w:eastAsia="Century Gothic" w:hAnsi="Century Gothic" w:cs="Century Gothic"/>
          <w:sz w:val="22"/>
          <w:szCs w:val="22"/>
        </w:rPr>
        <w:t xml:space="preserve"> farmacéuticos, respaldados por procesos especializados de manipulación y estándares acordados.</w:t>
      </w:r>
    </w:p>
    <w:p w14:paraId="1FB48D74" w14:textId="77777777" w:rsidR="00161C70" w:rsidRDefault="00000000">
      <w:pPr>
        <w:pBdr>
          <w:top w:val="nil"/>
          <w:left w:val="nil"/>
          <w:bottom w:val="nil"/>
          <w:right w:val="nil"/>
          <w:between w:val="nil"/>
        </w:pBdr>
        <w:spacing w:before="280"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Emirates </w:t>
      </w:r>
      <w:proofErr w:type="spellStart"/>
      <w:r>
        <w:rPr>
          <w:rFonts w:ascii="Century Gothic" w:eastAsia="Century Gothic" w:hAnsi="Century Gothic" w:cs="Century Gothic"/>
          <w:sz w:val="22"/>
          <w:szCs w:val="22"/>
        </w:rPr>
        <w:t>SkyCargo</w:t>
      </w:r>
      <w:proofErr w:type="spellEnd"/>
      <w:r>
        <w:rPr>
          <w:rFonts w:ascii="Century Gothic" w:eastAsia="Century Gothic" w:hAnsi="Century Gothic" w:cs="Century Gothic"/>
          <w:sz w:val="22"/>
          <w:szCs w:val="22"/>
        </w:rPr>
        <w:t xml:space="preserve"> también ha sido pionera en el desarrollo y despliegue de soluciones de protección térmica, incluidas mantas térmicas para envíos farmacéuticos, con el objetivo de proporcionar protección integral a la carga. Emirates </w:t>
      </w:r>
      <w:proofErr w:type="spellStart"/>
      <w:r>
        <w:rPr>
          <w:rFonts w:ascii="Century Gothic" w:eastAsia="Century Gothic" w:hAnsi="Century Gothic" w:cs="Century Gothic"/>
          <w:sz w:val="22"/>
          <w:szCs w:val="22"/>
        </w:rPr>
        <w:t>SkyCargo</w:t>
      </w:r>
      <w:proofErr w:type="spellEnd"/>
      <w:r>
        <w:rPr>
          <w:rFonts w:ascii="Century Gothic" w:eastAsia="Century Gothic" w:hAnsi="Century Gothic" w:cs="Century Gothic"/>
          <w:sz w:val="22"/>
          <w:szCs w:val="22"/>
        </w:rPr>
        <w:t xml:space="preserve"> es el único operador global de carga aérea que utiliza mantas térmicas para todos los envíos farmacéuticos sin excepción. En 2026, el operador también ha ampliado su grupo de proveedores de mantas térmicas, mejorando su disponibilidad en mercados clave, reduciendo los costes de transporte y permitiendo plazos de entrega más rápidos para clientes de todo el mundo.</w:t>
      </w:r>
    </w:p>
    <w:p w14:paraId="6CA3579B" w14:textId="77777777" w:rsidR="00161C70" w:rsidRDefault="00000000">
      <w:pPr>
        <w:pBdr>
          <w:top w:val="nil"/>
          <w:left w:val="nil"/>
          <w:bottom w:val="nil"/>
          <w:right w:val="nil"/>
          <w:between w:val="nil"/>
        </w:pBdr>
        <w:spacing w:before="280"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Al entrar el producto farmacéutico de Emirates </w:t>
      </w:r>
      <w:proofErr w:type="spellStart"/>
      <w:r>
        <w:rPr>
          <w:rFonts w:ascii="Century Gothic" w:eastAsia="Century Gothic" w:hAnsi="Century Gothic" w:cs="Century Gothic"/>
          <w:sz w:val="22"/>
          <w:szCs w:val="22"/>
        </w:rPr>
        <w:t>SkyCargo</w:t>
      </w:r>
      <w:proofErr w:type="spellEnd"/>
      <w:r>
        <w:rPr>
          <w:rFonts w:ascii="Century Gothic" w:eastAsia="Century Gothic" w:hAnsi="Century Gothic" w:cs="Century Gothic"/>
          <w:sz w:val="22"/>
          <w:szCs w:val="22"/>
        </w:rPr>
        <w:t xml:space="preserve"> en su segunda década, el operador mantiene su compromiso de invertir continuamente en capacidades especializadas de logística sanitaria, desarrollar nuevas soluciones para segmentos sanitarios emergentes y trabajar estrechamente con socios de todo el mundo para reforzar las cadenas de suministro farmacéuticas globales.</w:t>
      </w:r>
    </w:p>
    <w:p w14:paraId="5164C58D" w14:textId="77777777" w:rsidR="00161C70" w:rsidRDefault="00000000">
      <w:pPr>
        <w:pBdr>
          <w:top w:val="nil"/>
          <w:left w:val="nil"/>
          <w:bottom w:val="nil"/>
          <w:right w:val="nil"/>
          <w:between w:val="nil"/>
        </w:pBdr>
        <w:spacing w:before="280" w:line="360"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A medida que el sector evoluciona más allá de los productos farmacéuticos tradicionales hacia tratamientos cada vez más especializados, incluidas las terapias celulares y génicas, los productos biológicos y los medicamentos de precisión, Emirates </w:t>
      </w:r>
      <w:proofErr w:type="spellStart"/>
      <w:r>
        <w:rPr>
          <w:rFonts w:ascii="Century Gothic" w:eastAsia="Century Gothic" w:hAnsi="Century Gothic" w:cs="Century Gothic"/>
          <w:sz w:val="22"/>
          <w:szCs w:val="22"/>
        </w:rPr>
        <w:t>SkyCargo</w:t>
      </w:r>
      <w:proofErr w:type="spellEnd"/>
      <w:r>
        <w:rPr>
          <w:rFonts w:ascii="Century Gothic" w:eastAsia="Century Gothic" w:hAnsi="Century Gothic" w:cs="Century Gothic"/>
          <w:sz w:val="22"/>
          <w:szCs w:val="22"/>
        </w:rPr>
        <w:t xml:space="preserve"> continúa innovando en sus infraestructuras, procesos y cartera de productos para responder a las necesidades cambiantes de sus clientes.</w:t>
      </w:r>
    </w:p>
    <w:p w14:paraId="21FB8FCF" w14:textId="77777777" w:rsidR="00161C70" w:rsidRDefault="00000000">
      <w:pPr>
        <w:pBdr>
          <w:top w:val="nil"/>
          <w:left w:val="nil"/>
          <w:bottom w:val="nil"/>
          <w:right w:val="nil"/>
          <w:between w:val="nil"/>
        </w:pBdr>
        <w:spacing w:before="280" w:line="360" w:lineRule="auto"/>
        <w:jc w:val="both"/>
        <w:rPr>
          <w:rFonts w:ascii="Century Gothic" w:eastAsia="Century Gothic" w:hAnsi="Century Gothic" w:cs="Century Gothic"/>
          <w:sz w:val="18"/>
          <w:szCs w:val="18"/>
        </w:rPr>
      </w:pPr>
      <w:r>
        <w:rPr>
          <w:rFonts w:ascii="Century Gothic" w:eastAsia="Century Gothic" w:hAnsi="Century Gothic" w:cs="Century Gothic"/>
          <w:sz w:val="22"/>
          <w:szCs w:val="22"/>
        </w:rPr>
        <w:lastRenderedPageBreak/>
        <w:t xml:space="preserve">Mediante la innovación continua, la colaboración estratégica y la inversión constante en infraestructura y tecnología, Emirates </w:t>
      </w:r>
      <w:proofErr w:type="spellStart"/>
      <w:r>
        <w:rPr>
          <w:rFonts w:ascii="Century Gothic" w:eastAsia="Century Gothic" w:hAnsi="Century Gothic" w:cs="Century Gothic"/>
          <w:sz w:val="22"/>
          <w:szCs w:val="22"/>
        </w:rPr>
        <w:t>SkyCargo</w:t>
      </w:r>
      <w:proofErr w:type="spellEnd"/>
      <w:r>
        <w:rPr>
          <w:rFonts w:ascii="Century Gothic" w:eastAsia="Century Gothic" w:hAnsi="Century Gothic" w:cs="Century Gothic"/>
          <w:sz w:val="22"/>
          <w:szCs w:val="22"/>
        </w:rPr>
        <w:t xml:space="preserve"> contribuirá al movimiento fluido y global de productos farmacéuticos, al tiempo que reforzará la posición de Dubái como uno de los principales </w:t>
      </w:r>
      <w:proofErr w:type="spellStart"/>
      <w:r>
        <w:rPr>
          <w:rFonts w:ascii="Century Gothic" w:eastAsia="Century Gothic" w:hAnsi="Century Gothic" w:cs="Century Gothic"/>
          <w:i/>
          <w:iCs/>
          <w:sz w:val="22"/>
          <w:szCs w:val="22"/>
        </w:rPr>
        <w:t>hubs</w:t>
      </w:r>
      <w:proofErr w:type="spellEnd"/>
      <w:r>
        <w:rPr>
          <w:rFonts w:ascii="Century Gothic" w:eastAsia="Century Gothic" w:hAnsi="Century Gothic" w:cs="Century Gothic"/>
          <w:sz w:val="22"/>
          <w:szCs w:val="22"/>
        </w:rPr>
        <w:t xml:space="preserve"> mundiales para el transporte de productos sanitarios avanzados.</w:t>
      </w:r>
    </w:p>
    <w:sectPr w:rsidR="00161C70">
      <w:headerReference w:type="default" r:id="rId8"/>
      <w:pgSz w:w="11900" w:h="16840"/>
      <w:pgMar w:top="1417" w:right="1268" w:bottom="734" w:left="1276"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786697" w14:textId="77777777" w:rsidR="00616148" w:rsidRDefault="00616148">
      <w:r>
        <w:separator/>
      </w:r>
    </w:p>
  </w:endnote>
  <w:endnote w:type="continuationSeparator" w:id="0">
    <w:p w14:paraId="4687E530" w14:textId="77777777" w:rsidR="00616148" w:rsidRDefault="006161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418A3D15-E758-0B42-9023-10FCC70775B3}"/>
    <w:embedBold r:id="rId2" w:fontKey="{32648C6E-A285-1149-A496-899C984E0EE6}"/>
    <w:embedItalic r:id="rId3" w:fontKey="{76F974FE-2383-BC47-9C38-0B5290DD63AE}"/>
  </w:font>
  <w:font w:name="Calibri">
    <w:panose1 w:val="020F0502020204030204"/>
    <w:charset w:val="00"/>
    <w:family w:val="swiss"/>
    <w:pitch w:val="variable"/>
    <w:sig w:usb0="E0002AFF" w:usb1="C000247B" w:usb2="00000009" w:usb3="00000000" w:csb0="000001FF" w:csb1="00000000"/>
    <w:embedRegular r:id="rId4" w:fontKey="{2DC9AAA2-50E6-E244-9A7C-74F375CDB553}"/>
  </w:font>
  <w:font w:name="Cambria">
    <w:panose1 w:val="02040503050406030204"/>
    <w:charset w:val="00"/>
    <w:family w:val="roman"/>
    <w:pitch w:val="variable"/>
    <w:sig w:usb0="E00002FF" w:usb1="400004FF" w:usb2="00000000" w:usb3="00000000" w:csb0="0000019F" w:csb1="00000000"/>
    <w:embedRegular r:id="rId5" w:fontKey="{CEE22DAF-F3FA-484B-9A91-4B41CF4F6DCC}"/>
  </w:font>
  <w:font w:name="Georgia">
    <w:panose1 w:val="02040502050405020303"/>
    <w:charset w:val="00"/>
    <w:family w:val="roman"/>
    <w:pitch w:val="variable"/>
    <w:sig w:usb0="00000287" w:usb1="00000000" w:usb2="00000000" w:usb3="00000000" w:csb0="0000009F" w:csb1="00000000"/>
    <w:embedItalic r:id="rId6" w:fontKey="{21B2ACCF-B73B-A947-9C52-A7757EFBBF85}"/>
  </w:font>
  <w:font w:name="Century Gothic">
    <w:panose1 w:val="020B0502020202020204"/>
    <w:charset w:val="00"/>
    <w:family w:val="swiss"/>
    <w:pitch w:val="variable"/>
    <w:sig w:usb0="00000287" w:usb1="00000000" w:usb2="00000000" w:usb3="00000000" w:csb0="0000009F" w:csb1="00000000"/>
    <w:embedRegular r:id="rId7" w:fontKey="{8691CC7B-F57E-EF4D-877F-4ACC212510DB}"/>
    <w:embedBold r:id="rId8" w:fontKey="{9B1AFC72-B50F-5B45-9D47-AA9F2F50EE53}"/>
    <w:embedItalic r:id="rId9" w:fontKey="{FCC64E15-BFA7-A948-AE4F-7B222EAAE52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A7B5F2" w14:textId="77777777" w:rsidR="00616148" w:rsidRDefault="00616148">
      <w:r>
        <w:separator/>
      </w:r>
    </w:p>
  </w:footnote>
  <w:footnote w:type="continuationSeparator" w:id="0">
    <w:p w14:paraId="2E04B39F" w14:textId="77777777" w:rsidR="00616148" w:rsidRDefault="006161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DD09CD" w14:textId="77777777" w:rsidR="00161C70" w:rsidRDefault="00000000">
    <w:pPr>
      <w:pBdr>
        <w:top w:val="nil"/>
        <w:left w:val="nil"/>
        <w:bottom w:val="nil"/>
        <w:right w:val="nil"/>
        <w:between w:val="nil"/>
      </w:pBdr>
      <w:tabs>
        <w:tab w:val="right" w:pos="8478"/>
      </w:tabs>
      <w:spacing w:after="200"/>
      <w:rPr>
        <w:rFonts w:ascii="Cambria" w:eastAsia="Cambria" w:hAnsi="Cambria" w:cs="Cambria"/>
        <w:color w:val="000000"/>
      </w:rPr>
    </w:pPr>
    <w:r>
      <w:rPr>
        <w:noProof/>
      </w:rPr>
      <w:drawing>
        <wp:anchor distT="0" distB="0" distL="0" distR="0" simplePos="0" relativeHeight="251658240" behindDoc="0" locked="0" layoutInCell="1" hidden="0" allowOverlap="1" wp14:anchorId="44496C81" wp14:editId="4FD45CB1">
          <wp:simplePos x="0" y="0"/>
          <wp:positionH relativeFrom="column">
            <wp:posOffset>0</wp:posOffset>
          </wp:positionH>
          <wp:positionV relativeFrom="paragraph">
            <wp:posOffset>0</wp:posOffset>
          </wp:positionV>
          <wp:extent cx="2073275" cy="1430655"/>
          <wp:effectExtent l="0" t="0" r="0" b="0"/>
          <wp:wrapSquare wrapText="bothSides" distT="0" distB="0" distL="0" distR="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073275" cy="1430655"/>
                  </a:xfrm>
                  <a:prstGeom prst="rect">
                    <a:avLst/>
                  </a:prstGeom>
                  <a:ln/>
                </pic:spPr>
              </pic:pic>
            </a:graphicData>
          </a:graphic>
        </wp:anchor>
      </w:drawing>
    </w:r>
  </w:p>
  <w:p w14:paraId="4BCDCB19" w14:textId="77777777" w:rsidR="00161C70" w:rsidRDefault="00161C70">
    <w:pPr>
      <w:pBdr>
        <w:top w:val="nil"/>
        <w:left w:val="nil"/>
        <w:bottom w:val="nil"/>
        <w:right w:val="nil"/>
        <w:between w:val="nil"/>
      </w:pBdr>
      <w:tabs>
        <w:tab w:val="right" w:pos="8478"/>
      </w:tabs>
      <w:spacing w:after="200"/>
      <w:rPr>
        <w:rFonts w:ascii="Cambria" w:eastAsia="Cambria" w:hAnsi="Cambria" w:cs="Cambria"/>
        <w:color w:val="000000"/>
      </w:rPr>
    </w:pPr>
  </w:p>
  <w:p w14:paraId="30F55ED1" w14:textId="77777777" w:rsidR="00161C70" w:rsidRDefault="00161C70">
    <w:pPr>
      <w:pBdr>
        <w:top w:val="nil"/>
        <w:left w:val="nil"/>
        <w:bottom w:val="nil"/>
        <w:right w:val="nil"/>
        <w:between w:val="nil"/>
      </w:pBdr>
      <w:tabs>
        <w:tab w:val="right" w:pos="8478"/>
      </w:tabs>
      <w:spacing w:after="200"/>
      <w:rPr>
        <w:rFonts w:ascii="Cambria" w:eastAsia="Cambria" w:hAnsi="Cambria" w:cs="Cambria"/>
        <w:color w:val="000000"/>
      </w:rPr>
    </w:pPr>
  </w:p>
  <w:p w14:paraId="50433E82" w14:textId="77777777" w:rsidR="00161C70" w:rsidRDefault="00161C70">
    <w:pPr>
      <w:pBdr>
        <w:top w:val="nil"/>
        <w:left w:val="nil"/>
        <w:bottom w:val="nil"/>
        <w:right w:val="nil"/>
        <w:between w:val="nil"/>
      </w:pBdr>
      <w:tabs>
        <w:tab w:val="right" w:pos="8478"/>
      </w:tabs>
      <w:spacing w:after="200"/>
      <w:rPr>
        <w:rFonts w:ascii="Cambria" w:eastAsia="Cambria" w:hAnsi="Cambria" w:cs="Cambria"/>
        <w:color w:val="000000"/>
      </w:rPr>
    </w:pPr>
  </w:p>
  <w:p w14:paraId="3EC1DF1D" w14:textId="77777777" w:rsidR="00161C70" w:rsidRDefault="00161C70">
    <w:pPr>
      <w:pBdr>
        <w:top w:val="nil"/>
        <w:left w:val="nil"/>
        <w:bottom w:val="nil"/>
        <w:right w:val="nil"/>
        <w:between w:val="nil"/>
      </w:pBdr>
      <w:tabs>
        <w:tab w:val="right" w:pos="8478"/>
      </w:tabs>
      <w:spacing w:after="200"/>
      <w:rPr>
        <w:rFonts w:ascii="Cambria" w:eastAsia="Cambria" w:hAnsi="Cambria" w:cs="Cambria"/>
        <w:color w:val="000000"/>
      </w:rPr>
    </w:pPr>
  </w:p>
  <w:p w14:paraId="2E9925DE" w14:textId="77777777" w:rsidR="00161C70" w:rsidRDefault="00161C70">
    <w:pPr>
      <w:pBdr>
        <w:top w:val="nil"/>
        <w:left w:val="nil"/>
        <w:bottom w:val="nil"/>
        <w:right w:val="nil"/>
        <w:between w:val="nil"/>
      </w:pBdr>
      <w:tabs>
        <w:tab w:val="right" w:pos="8478"/>
      </w:tabs>
      <w:spacing w:after="200"/>
      <w:rPr>
        <w:rFonts w:ascii="Cambria" w:eastAsia="Cambria" w:hAnsi="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7228EF"/>
    <w:multiLevelType w:val="multilevel"/>
    <w:tmpl w:val="3850B1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89F1240"/>
    <w:multiLevelType w:val="multilevel"/>
    <w:tmpl w:val="9168B1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9A7402D"/>
    <w:multiLevelType w:val="multilevel"/>
    <w:tmpl w:val="90BAD9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0537649">
    <w:abstractNumId w:val="0"/>
  </w:num>
  <w:num w:numId="2" w16cid:durableId="1292318787">
    <w:abstractNumId w:val="1"/>
  </w:num>
  <w:num w:numId="3" w16cid:durableId="133819330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C70"/>
    <w:rsid w:val="00161C70"/>
    <w:rsid w:val="003C4820"/>
    <w:rsid w:val="00616148"/>
    <w:rsid w:val="00F778E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7CB085A5"/>
  <w15:docId w15:val="{56751DBC-D9C2-984D-BC18-AF379B4F3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pBdr>
        <w:top w:val="nil"/>
        <w:left w:val="nil"/>
        <w:bottom w:val="nil"/>
        <w:right w:val="nil"/>
        <w:between w:val="nil"/>
      </w:pBdr>
      <w:spacing w:before="480" w:after="120"/>
      <w:outlineLvl w:val="0"/>
    </w:pPr>
    <w:rPr>
      <w:b/>
      <w:bCs/>
      <w:color w:val="000000"/>
      <w:sz w:val="48"/>
      <w:szCs w:val="48"/>
    </w:rPr>
  </w:style>
  <w:style w:type="paragraph" w:styleId="Ttulo2">
    <w:name w:val="heading 2"/>
    <w:basedOn w:val="Normal"/>
    <w:next w:val="Normal"/>
    <w:uiPriority w:val="9"/>
    <w:semiHidden/>
    <w:unhideWhenUsed/>
    <w:qFormat/>
    <w:pPr>
      <w:keepNext/>
      <w:keepLines/>
      <w:pBdr>
        <w:top w:val="nil"/>
        <w:left w:val="nil"/>
        <w:bottom w:val="nil"/>
        <w:right w:val="nil"/>
        <w:between w:val="nil"/>
      </w:pBdr>
      <w:spacing w:before="360" w:after="80"/>
      <w:outlineLvl w:val="1"/>
    </w:pPr>
    <w:rPr>
      <w:b/>
      <w:bCs/>
      <w:color w:val="000000"/>
      <w:sz w:val="36"/>
      <w:szCs w:val="36"/>
    </w:rPr>
  </w:style>
  <w:style w:type="paragraph" w:styleId="Ttulo3">
    <w:name w:val="heading 3"/>
    <w:basedOn w:val="Normal"/>
    <w:next w:val="Normal"/>
    <w:uiPriority w:val="9"/>
    <w:semiHidden/>
    <w:unhideWhenUsed/>
    <w:qFormat/>
    <w:pPr>
      <w:keepNext/>
      <w:keepLines/>
      <w:pBdr>
        <w:top w:val="nil"/>
        <w:left w:val="nil"/>
        <w:bottom w:val="nil"/>
        <w:right w:val="nil"/>
        <w:between w:val="nil"/>
      </w:pBdr>
      <w:spacing w:before="280" w:after="80"/>
      <w:outlineLvl w:val="2"/>
    </w:pPr>
    <w:rPr>
      <w:b/>
      <w:bCs/>
      <w:color w:val="000000"/>
      <w:sz w:val="28"/>
      <w:szCs w:val="28"/>
    </w:rPr>
  </w:style>
  <w:style w:type="paragraph" w:styleId="Ttulo4">
    <w:name w:val="heading 4"/>
    <w:basedOn w:val="Normal"/>
    <w:next w:val="Normal"/>
    <w:uiPriority w:val="9"/>
    <w:semiHidden/>
    <w:unhideWhenUsed/>
    <w:qFormat/>
    <w:pPr>
      <w:keepNext/>
      <w:keepLines/>
      <w:pBdr>
        <w:top w:val="nil"/>
        <w:left w:val="nil"/>
        <w:bottom w:val="nil"/>
        <w:right w:val="nil"/>
        <w:between w:val="nil"/>
      </w:pBdr>
      <w:spacing w:before="240" w:after="40"/>
      <w:outlineLvl w:val="3"/>
    </w:pPr>
    <w:rPr>
      <w:b/>
      <w:bCs/>
      <w:color w:val="000000"/>
    </w:rPr>
  </w:style>
  <w:style w:type="paragraph" w:styleId="Ttulo5">
    <w:name w:val="heading 5"/>
    <w:basedOn w:val="Normal"/>
    <w:next w:val="Normal"/>
    <w:uiPriority w:val="9"/>
    <w:semiHidden/>
    <w:unhideWhenUsed/>
    <w:qFormat/>
    <w:pPr>
      <w:keepNext/>
      <w:keepLines/>
      <w:pBdr>
        <w:top w:val="nil"/>
        <w:left w:val="nil"/>
        <w:bottom w:val="nil"/>
        <w:right w:val="nil"/>
        <w:between w:val="nil"/>
      </w:pBdr>
      <w:spacing w:before="220" w:after="40"/>
      <w:outlineLvl w:val="4"/>
    </w:pPr>
    <w:rPr>
      <w:b/>
      <w:bCs/>
      <w:color w:val="000000"/>
      <w:sz w:val="22"/>
      <w:szCs w:val="22"/>
    </w:rPr>
  </w:style>
  <w:style w:type="paragraph" w:styleId="Ttulo6">
    <w:name w:val="heading 6"/>
    <w:basedOn w:val="Normal"/>
    <w:next w:val="Normal"/>
    <w:uiPriority w:val="9"/>
    <w:semiHidden/>
    <w:unhideWhenUsed/>
    <w:qFormat/>
    <w:pPr>
      <w:keepNext/>
      <w:keepLines/>
      <w:pBdr>
        <w:top w:val="nil"/>
        <w:left w:val="nil"/>
        <w:bottom w:val="nil"/>
        <w:right w:val="nil"/>
        <w:between w:val="nil"/>
      </w:pBdr>
      <w:spacing w:before="200" w:after="40"/>
      <w:outlineLvl w:val="5"/>
    </w:pPr>
    <w:rPr>
      <w:b/>
      <w:bCs/>
      <w:color w:val="000000"/>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pBdr>
        <w:top w:val="nil"/>
        <w:left w:val="nil"/>
        <w:bottom w:val="nil"/>
        <w:right w:val="nil"/>
        <w:between w:val="nil"/>
      </w:pBdr>
      <w:spacing w:before="480" w:after="120"/>
    </w:pPr>
    <w:rPr>
      <w:b/>
      <w:bCs/>
      <w:color w:val="000000"/>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a">
    <w:basedOn w:val="TableNormal1"/>
    <w:tblPr>
      <w:tblStyleRowBandSize w:val="1"/>
      <w:tblStyleColBandSize w:val="1"/>
    </w:tblPr>
  </w:style>
  <w:style w:type="paragraph" w:styleId="Prrafodelista">
    <w:name w:val="List Paragraph"/>
    <w:aliases w:val="numbered,Paragraphe de liste1,Bullet List,FooterText"/>
    <w:basedOn w:val="Normal"/>
    <w:link w:val="PrrafodelistaCar"/>
    <w:uiPriority w:val="34"/>
    <w:qFormat/>
    <w:rsid w:val="004348AD"/>
    <w:pPr>
      <w:ind w:left="720"/>
      <w:contextualSpacing/>
    </w:pPr>
  </w:style>
  <w:style w:type="character" w:styleId="Hipervnculo">
    <w:name w:val="Hyperlink"/>
    <w:basedOn w:val="Fuentedeprrafopredeter"/>
    <w:uiPriority w:val="99"/>
    <w:unhideWhenUsed/>
    <w:rsid w:val="00D15796"/>
    <w:rPr>
      <w:color w:val="0000FF" w:themeColor="hyperlink"/>
      <w:u w:val="single"/>
    </w:rPr>
  </w:style>
  <w:style w:type="character" w:customStyle="1" w:styleId="Mencinsinresolver1">
    <w:name w:val="Mención sin resolver1"/>
    <w:basedOn w:val="Fuentedeprrafopredeter"/>
    <w:uiPriority w:val="99"/>
    <w:semiHidden/>
    <w:unhideWhenUsed/>
    <w:rsid w:val="007E7562"/>
    <w:rPr>
      <w:color w:val="605E5C"/>
      <w:shd w:val="clear" w:color="auto" w:fill="E1DFDD"/>
    </w:rPr>
  </w:style>
  <w:style w:type="character" w:styleId="Hipervnculovisitado">
    <w:name w:val="FollowedHyperlink"/>
    <w:basedOn w:val="Fuentedeprrafopredeter"/>
    <w:uiPriority w:val="99"/>
    <w:semiHidden/>
    <w:unhideWhenUsed/>
    <w:rsid w:val="007E7562"/>
    <w:rPr>
      <w:color w:val="800080" w:themeColor="followedHyperlink"/>
      <w:u w:val="single"/>
    </w:rPr>
  </w:style>
  <w:style w:type="paragraph" w:styleId="Encabezado">
    <w:name w:val="header"/>
    <w:basedOn w:val="Normal"/>
    <w:link w:val="EncabezadoCar"/>
    <w:uiPriority w:val="99"/>
    <w:unhideWhenUsed/>
    <w:rsid w:val="003E7D4F"/>
    <w:pPr>
      <w:tabs>
        <w:tab w:val="center" w:pos="4252"/>
        <w:tab w:val="right" w:pos="8504"/>
      </w:tabs>
    </w:pPr>
  </w:style>
  <w:style w:type="character" w:customStyle="1" w:styleId="EncabezadoCar">
    <w:name w:val="Encabezado Car"/>
    <w:basedOn w:val="Fuentedeprrafopredeter"/>
    <w:link w:val="Encabezado"/>
    <w:uiPriority w:val="99"/>
    <w:rsid w:val="003E7D4F"/>
  </w:style>
  <w:style w:type="paragraph" w:styleId="Piedepgina">
    <w:name w:val="footer"/>
    <w:basedOn w:val="Normal"/>
    <w:link w:val="PiedepginaCar"/>
    <w:uiPriority w:val="99"/>
    <w:unhideWhenUsed/>
    <w:rsid w:val="003E7D4F"/>
    <w:pPr>
      <w:tabs>
        <w:tab w:val="center" w:pos="4252"/>
        <w:tab w:val="right" w:pos="8504"/>
      </w:tabs>
    </w:pPr>
  </w:style>
  <w:style w:type="character" w:customStyle="1" w:styleId="PiedepginaCar">
    <w:name w:val="Pie de página Car"/>
    <w:basedOn w:val="Fuentedeprrafopredeter"/>
    <w:link w:val="Piedepgina"/>
    <w:uiPriority w:val="99"/>
    <w:rsid w:val="003E7D4F"/>
  </w:style>
  <w:style w:type="paragraph" w:styleId="NormalWeb">
    <w:name w:val="Normal (Web)"/>
    <w:basedOn w:val="Normal"/>
    <w:uiPriority w:val="99"/>
    <w:unhideWhenUsed/>
    <w:rsid w:val="001863FF"/>
    <w:pPr>
      <w:spacing w:before="100" w:beforeAutospacing="1" w:after="100" w:afterAutospacing="1"/>
    </w:pPr>
    <w:rPr>
      <w:rFonts w:ascii="Calibri" w:eastAsiaTheme="minorHAnsi" w:hAnsi="Calibri" w:cs="Calibri"/>
      <w:sz w:val="22"/>
      <w:szCs w:val="22"/>
      <w:lang w:val="en-GB"/>
    </w:rPr>
  </w:style>
  <w:style w:type="character" w:styleId="Fuerte">
    <w:name w:val="Strong"/>
    <w:basedOn w:val="Fuentedeprrafopredeter"/>
    <w:uiPriority w:val="22"/>
    <w:qFormat/>
    <w:rsid w:val="009368A3"/>
    <w:rPr>
      <w:b/>
      <w:bCs/>
    </w:rPr>
  </w:style>
  <w:style w:type="character" w:styleId="Mencinsinresolver">
    <w:name w:val="Unresolved Mention"/>
    <w:basedOn w:val="Fuentedeprrafopredeter"/>
    <w:uiPriority w:val="99"/>
    <w:semiHidden/>
    <w:unhideWhenUsed/>
    <w:rsid w:val="005647D6"/>
    <w:rPr>
      <w:color w:val="605E5C"/>
      <w:shd w:val="clear" w:color="auto" w:fill="E1DFDD"/>
    </w:rPr>
  </w:style>
  <w:style w:type="paragraph" w:styleId="Textocomentario">
    <w:name w:val="annotation text"/>
    <w:basedOn w:val="Normal"/>
    <w:link w:val="TextocomentarioCar"/>
    <w:uiPriority w:val="99"/>
    <w:semiHidden/>
    <w:unhideWhenUsed/>
    <w:rsid w:val="005647D6"/>
    <w:pPr>
      <w:spacing w:after="160"/>
    </w:pPr>
    <w:rPr>
      <w:rFonts w:asciiTheme="minorHAnsi" w:eastAsiaTheme="minorEastAsia" w:hAnsiTheme="minorHAnsi" w:cstheme="minorBidi"/>
      <w:sz w:val="20"/>
      <w:szCs w:val="20"/>
      <w:lang w:val="en-GB" w:eastAsia="zh-CN"/>
    </w:rPr>
  </w:style>
  <w:style w:type="character" w:customStyle="1" w:styleId="TextocomentarioCar">
    <w:name w:val="Texto comentario Car"/>
    <w:basedOn w:val="Fuentedeprrafopredeter"/>
    <w:link w:val="Textocomentario"/>
    <w:uiPriority w:val="99"/>
    <w:semiHidden/>
    <w:rsid w:val="005647D6"/>
    <w:rPr>
      <w:rFonts w:asciiTheme="minorHAnsi" w:eastAsiaTheme="minorEastAsia" w:hAnsiTheme="minorHAnsi" w:cstheme="minorBidi"/>
      <w:sz w:val="20"/>
      <w:szCs w:val="20"/>
      <w:lang w:val="en-GB" w:eastAsia="zh-CN"/>
    </w:rPr>
  </w:style>
  <w:style w:type="character" w:customStyle="1" w:styleId="PrrafodelistaCar">
    <w:name w:val="Párrafo de lista Car"/>
    <w:aliases w:val="numbered Car,Paragraphe de liste1 Car,Bullet List Car,FooterText Car"/>
    <w:basedOn w:val="Fuentedeprrafopredeter"/>
    <w:link w:val="Prrafodelista"/>
    <w:uiPriority w:val="34"/>
    <w:locked/>
    <w:rsid w:val="005647D6"/>
  </w:style>
  <w:style w:type="character" w:customStyle="1" w:styleId="wordsection1Char">
    <w:name w:val="wordsection1 Char"/>
    <w:basedOn w:val="Fuentedeprrafopredeter"/>
    <w:link w:val="wordsection1"/>
    <w:uiPriority w:val="99"/>
    <w:locked/>
    <w:rsid w:val="005647D6"/>
    <w:rPr>
      <w:rFonts w:ascii="Calibri" w:hAnsi="Calibri" w:cs="Calibri"/>
    </w:rPr>
  </w:style>
  <w:style w:type="paragraph" w:customStyle="1" w:styleId="wordsection1">
    <w:name w:val="wordsection1"/>
    <w:basedOn w:val="Normal"/>
    <w:link w:val="wordsection1Char"/>
    <w:uiPriority w:val="99"/>
    <w:rsid w:val="005647D6"/>
    <w:rPr>
      <w:rFonts w:ascii="Calibri" w:hAnsi="Calibri" w:cs="Calibri"/>
    </w:rPr>
  </w:style>
  <w:style w:type="character" w:styleId="Refdecomentario">
    <w:name w:val="annotation reference"/>
    <w:basedOn w:val="Fuentedeprrafopredeter"/>
    <w:uiPriority w:val="99"/>
    <w:semiHidden/>
    <w:unhideWhenUsed/>
    <w:rsid w:val="005647D6"/>
    <w:rPr>
      <w:sz w:val="16"/>
      <w:szCs w:val="16"/>
    </w:rPr>
  </w:style>
  <w:style w:type="character" w:customStyle="1" w:styleId="normaltextrun">
    <w:name w:val="normaltextrun"/>
    <w:basedOn w:val="Fuentedeprrafopredeter"/>
    <w:rsid w:val="005647D6"/>
  </w:style>
  <w:style w:type="table" w:customStyle="1" w:styleId="a0">
    <w:basedOn w:val="TableNormal1"/>
    <w:tblPr>
      <w:tblStyleRowBandSize w:val="1"/>
      <w:tblStyleColBandSize w:val="1"/>
    </w:tblPr>
  </w:style>
  <w:style w:type="character" w:styleId="nfasis">
    <w:name w:val="Emphasis"/>
    <w:basedOn w:val="Fuentedeprrafopredeter"/>
    <w:uiPriority w:val="20"/>
    <w:qFormat/>
    <w:rsid w:val="000D6301"/>
    <w:rPr>
      <w:i/>
      <w:iCs/>
    </w:rPr>
  </w:style>
  <w:style w:type="paragraph" w:styleId="Subttulo">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1">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zwlnVgOv07gYl/9fpu+TePOYvA==">CgMxLjA4AHIhMU02SFV0ZzhjdlRmRFB3dmh5d2hrdWRzRy0wbDItWnB5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1147</Words>
  <Characters>6828</Characters>
  <Application>Microsoft Office Word</Application>
  <DocSecurity>0</DocSecurity>
  <Lines>115</Lines>
  <Paragraphs>27</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7953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Sergat</dc:creator>
  <cp:keywords/>
  <dc:description/>
  <cp:lastModifiedBy>Ana</cp:lastModifiedBy>
  <cp:revision>2</cp:revision>
  <dcterms:created xsi:type="dcterms:W3CDTF">2026-10-02T09:43:00Z</dcterms:created>
  <dcterms:modified xsi:type="dcterms:W3CDTF">2026-10-02T10:28:00Z</dcterms:modified>
  <cp:category/>
</cp:coreProperties>
</file>