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914427" w14:textId="77777777" w:rsidR="000D536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Contacto:</w:t>
      </w:r>
    </w:p>
    <w:p w14:paraId="5AF06722" w14:textId="77777777" w:rsidR="000D536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EMIRATES </w:t>
      </w:r>
    </w:p>
    <w:p w14:paraId="53B16176" w14:textId="77777777" w:rsidR="000D536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Sergat</w:t>
      </w:r>
      <w:proofErr w:type="spellEnd"/>
      <w:r>
        <w:rPr>
          <w:rFonts w:ascii="Century Gothic" w:eastAsia="Century Gothic" w:hAnsi="Century Gothic" w:cs="Century Gothic"/>
          <w:color w:val="000000"/>
          <w:sz w:val="18"/>
          <w:szCs w:val="18"/>
        </w:rPr>
        <w:t xml:space="preserve"> </w:t>
      </w:r>
    </w:p>
    <w:p w14:paraId="56F4CB1A" w14:textId="77777777" w:rsidR="000D536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Teléfono: 93 414 02 10</w:t>
      </w:r>
    </w:p>
    <w:p w14:paraId="0820791E" w14:textId="77777777" w:rsidR="000D5366" w:rsidRDefault="00000000">
      <w:pPr>
        <w:pBdr>
          <w:top w:val="nil"/>
          <w:left w:val="nil"/>
          <w:bottom w:val="nil"/>
          <w:right w:val="nil"/>
          <w:between w:val="nil"/>
        </w:pBdr>
        <w:spacing w:line="360" w:lineRule="auto"/>
        <w:jc w:val="both"/>
        <w:rPr>
          <w:rFonts w:ascii="Cambria" w:eastAsia="Cambria" w:hAnsi="Cambria" w:cs="Cambria"/>
          <w:color w:val="000000"/>
        </w:rPr>
      </w:pPr>
      <w:r>
        <w:rPr>
          <w:rFonts w:ascii="Century Gothic" w:eastAsia="Century Gothic" w:hAnsi="Century Gothic" w:cs="Century Gothic"/>
          <w:color w:val="000000"/>
          <w:sz w:val="18"/>
          <w:szCs w:val="18"/>
        </w:rPr>
        <w:t xml:space="preserve">Correo electrónico: </w:t>
      </w:r>
      <w:r>
        <w:rPr>
          <w:rFonts w:ascii="Century Gothic" w:eastAsia="Century Gothic" w:hAnsi="Century Gothic" w:cs="Century Gothic"/>
          <w:color w:val="0000FF"/>
          <w:sz w:val="18"/>
          <w:szCs w:val="18"/>
        </w:rPr>
        <w:t xml:space="preserve">prensa@sergat.com   </w:t>
      </w:r>
    </w:p>
    <w:p w14:paraId="60D3311D" w14:textId="77777777" w:rsidR="000D5366" w:rsidRDefault="000D5366">
      <w:pPr>
        <w:jc w:val="center"/>
        <w:rPr>
          <w:sz w:val="20"/>
          <w:szCs w:val="20"/>
        </w:rPr>
      </w:pPr>
    </w:p>
    <w:p w14:paraId="21100EBD" w14:textId="77777777" w:rsidR="000D5366" w:rsidRDefault="00000000">
      <w:pPr>
        <w:pBdr>
          <w:top w:val="nil"/>
          <w:left w:val="nil"/>
          <w:bottom w:val="nil"/>
          <w:right w:val="nil"/>
          <w:between w:val="nil"/>
        </w:pBdr>
        <w:spacing w:before="280" w:line="360" w:lineRule="auto"/>
        <w:jc w:val="center"/>
        <w:rPr>
          <w:rFonts w:ascii="Century Gothic" w:eastAsia="Century Gothic" w:hAnsi="Century Gothic" w:cs="Century Gothic"/>
          <w:b/>
          <w:bCs/>
        </w:rPr>
      </w:pPr>
      <w:r>
        <w:rPr>
          <w:rFonts w:ascii="Century Gothic" w:eastAsia="Century Gothic" w:hAnsi="Century Gothic" w:cs="Century Gothic"/>
          <w:b/>
          <w:bCs/>
        </w:rPr>
        <w:t xml:space="preserve">Emirates explora innovaciones para clientes con necesidades de viaje accesible en </w:t>
      </w:r>
      <w:proofErr w:type="spellStart"/>
      <w:r>
        <w:rPr>
          <w:rFonts w:ascii="Century Gothic" w:eastAsia="Century Gothic" w:hAnsi="Century Gothic" w:cs="Century Gothic"/>
          <w:b/>
          <w:bCs/>
        </w:rPr>
        <w:t>AccessAbilities</w:t>
      </w:r>
      <w:proofErr w:type="spellEnd"/>
      <w:r>
        <w:rPr>
          <w:rFonts w:ascii="Century Gothic" w:eastAsia="Century Gothic" w:hAnsi="Century Gothic" w:cs="Century Gothic"/>
          <w:b/>
          <w:bCs/>
        </w:rPr>
        <w:t xml:space="preserve"> Expo Dubái 2026</w:t>
      </w:r>
    </w:p>
    <w:p w14:paraId="00121D0A"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Dubái, EAU, 20 de octubre de 2026:</w:t>
      </w:r>
      <w:r>
        <w:rPr>
          <w:rFonts w:ascii="Century Gothic" w:eastAsia="Century Gothic" w:hAnsi="Century Gothic" w:cs="Century Gothic"/>
          <w:sz w:val="22"/>
          <w:szCs w:val="22"/>
        </w:rPr>
        <w:t xml:space="preserve"> Emirates ha presentado oficialmente su </w:t>
      </w:r>
      <w:r>
        <w:rPr>
          <w:rFonts w:ascii="Century Gothic" w:eastAsia="Century Gothic" w:hAnsi="Century Gothic" w:cs="Century Gothic"/>
          <w:i/>
          <w:iCs/>
          <w:sz w:val="22"/>
          <w:szCs w:val="22"/>
        </w:rPr>
        <w:t>stand</w:t>
      </w:r>
      <w:r>
        <w:rPr>
          <w:rFonts w:ascii="Century Gothic" w:eastAsia="Century Gothic" w:hAnsi="Century Gothic" w:cs="Century Gothic"/>
          <w:sz w:val="22"/>
          <w:szCs w:val="22"/>
        </w:rPr>
        <w:t xml:space="preserve"> interactivo en la 8.ª edición de </w:t>
      </w:r>
      <w:proofErr w:type="spellStart"/>
      <w:r>
        <w:rPr>
          <w:rFonts w:ascii="Century Gothic" w:eastAsia="Century Gothic" w:hAnsi="Century Gothic" w:cs="Century Gothic"/>
          <w:sz w:val="22"/>
          <w:szCs w:val="22"/>
        </w:rPr>
        <w:t>AccessAbilities</w:t>
      </w:r>
      <w:proofErr w:type="spellEnd"/>
      <w:r>
        <w:rPr>
          <w:rFonts w:ascii="Century Gothic" w:eastAsia="Century Gothic" w:hAnsi="Century Gothic" w:cs="Century Gothic"/>
          <w:sz w:val="22"/>
          <w:szCs w:val="22"/>
        </w:rPr>
        <w:t xml:space="preserve"> Expo, el principal evento de la región dedicado a la accesibilidad y la innovación inclusiva, que se celebra en el </w:t>
      </w:r>
      <w:proofErr w:type="spellStart"/>
      <w:r>
        <w:rPr>
          <w:rFonts w:ascii="Century Gothic" w:eastAsia="Century Gothic" w:hAnsi="Century Gothic" w:cs="Century Gothic"/>
          <w:i/>
          <w:iCs/>
          <w:sz w:val="22"/>
          <w:szCs w:val="22"/>
        </w:rPr>
        <w:t>Dubai</w:t>
      </w:r>
      <w:proofErr w:type="spellEnd"/>
      <w:r>
        <w:rPr>
          <w:rFonts w:ascii="Century Gothic" w:eastAsia="Century Gothic" w:hAnsi="Century Gothic" w:cs="Century Gothic"/>
          <w:i/>
          <w:iCs/>
          <w:sz w:val="22"/>
          <w:szCs w:val="22"/>
        </w:rPr>
        <w:t xml:space="preserve"> World </w:t>
      </w:r>
      <w:proofErr w:type="spellStart"/>
      <w:r>
        <w:rPr>
          <w:rFonts w:ascii="Century Gothic" w:eastAsia="Century Gothic" w:hAnsi="Century Gothic" w:cs="Century Gothic"/>
          <w:i/>
          <w:iCs/>
          <w:sz w:val="22"/>
          <w:szCs w:val="22"/>
        </w:rPr>
        <w:t>Trade</w:t>
      </w:r>
      <w:proofErr w:type="spellEnd"/>
      <w:r>
        <w:rPr>
          <w:rFonts w:ascii="Century Gothic" w:eastAsia="Century Gothic" w:hAnsi="Century Gothic" w:cs="Century Gothic"/>
          <w:i/>
          <w:iCs/>
          <w:sz w:val="22"/>
          <w:szCs w:val="22"/>
        </w:rPr>
        <w:t xml:space="preserve"> Centre</w:t>
      </w:r>
      <w:r>
        <w:rPr>
          <w:rFonts w:ascii="Century Gothic" w:eastAsia="Century Gothic" w:hAnsi="Century Gothic" w:cs="Century Gothic"/>
          <w:sz w:val="22"/>
          <w:szCs w:val="22"/>
        </w:rPr>
        <w:t xml:space="preserve"> del 19 al 21 de octubre de 2026. La exposición fue inaugurada oficialmente por Su Alteza el Jeque Ahmed </w:t>
      </w:r>
      <w:proofErr w:type="spellStart"/>
      <w:r>
        <w:rPr>
          <w:rFonts w:ascii="Century Gothic" w:eastAsia="Century Gothic" w:hAnsi="Century Gothic" w:cs="Century Gothic"/>
          <w:sz w:val="22"/>
          <w:szCs w:val="22"/>
        </w:rPr>
        <w:t>bin</w:t>
      </w:r>
      <w:proofErr w:type="spellEnd"/>
      <w:r>
        <w:rPr>
          <w:rFonts w:ascii="Century Gothic" w:eastAsia="Century Gothic" w:hAnsi="Century Gothic" w:cs="Century Gothic"/>
          <w:sz w:val="22"/>
          <w:szCs w:val="22"/>
        </w:rPr>
        <w:t xml:space="preserve"> Saeed Al Maktoum, presidente y director ejecutivo de la aerolínea y Emirates Group y patrocinador de </w:t>
      </w:r>
      <w:proofErr w:type="spellStart"/>
      <w:r>
        <w:rPr>
          <w:rFonts w:ascii="Century Gothic" w:eastAsia="Century Gothic" w:hAnsi="Century Gothic" w:cs="Century Gothic"/>
          <w:sz w:val="22"/>
          <w:szCs w:val="22"/>
        </w:rPr>
        <w:t>AccessAbilities</w:t>
      </w:r>
      <w:proofErr w:type="spellEnd"/>
      <w:r>
        <w:rPr>
          <w:rFonts w:ascii="Century Gothic" w:eastAsia="Century Gothic" w:hAnsi="Century Gothic" w:cs="Century Gothic"/>
          <w:sz w:val="22"/>
          <w:szCs w:val="22"/>
        </w:rPr>
        <w:t xml:space="preserve"> Expo.</w:t>
      </w:r>
    </w:p>
    <w:p w14:paraId="51F0BAD6"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espacio de Emirates ha desvelado varias ideas innovadoras y orientadas al futuro que se encuentran actualmente en desarrollo, entre ellas un concepto de familiarización con la cabina que se está estudiando para clientes ciegos o con baja visión, una </w:t>
      </w:r>
      <w:r>
        <w:rPr>
          <w:rFonts w:ascii="Century Gothic" w:eastAsia="Century Gothic" w:hAnsi="Century Gothic" w:cs="Century Gothic"/>
          <w:i/>
          <w:iCs/>
          <w:sz w:val="22"/>
          <w:szCs w:val="22"/>
        </w:rPr>
        <w:t>suite</w:t>
      </w:r>
      <w:r>
        <w:rPr>
          <w:rFonts w:ascii="Century Gothic" w:eastAsia="Century Gothic" w:hAnsi="Century Gothic" w:cs="Century Gothic"/>
          <w:sz w:val="22"/>
          <w:szCs w:val="22"/>
        </w:rPr>
        <w:t xml:space="preserve"> accesible en sala VIP para clientes con movilidad reducida y puertas de embarque biométricas para clientes con necesidades de viaje accesible.</w:t>
      </w:r>
    </w:p>
    <w:p w14:paraId="1B3C720C"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Mostafa Karam, vicepresidente sénior de la División de Atención al Cliente y Auditoría del Servicio de Emirates, declara: “La ambición de Emirates es contribuir a construir un futuro más inclusivo para la aviación como parte esencial de la experiencia del cliente. Estamos mirando más allá de los servicios concretos y trabajando con nuestros socios para tener en cuenta la accesibilidad a lo largo de todo el viaje, desde la planificación y el entorno del aeropuerto hasta la experiencia a bordo y en los destinos. Guiados por la opinión de nuestros clientes y por la experiencia de quienes viven estas situaciones, nos centramos en mejoras prácticas que reduzcan barreras, amplíen las opciones y permitan a las personas viajar con mayor claridad, confianza, independencia y dignidad.”</w:t>
      </w:r>
    </w:p>
    <w:p w14:paraId="78EFF05A"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lastRenderedPageBreak/>
        <w:t>Exploración de la cabina de Emirates para personas con visión reducida</w:t>
      </w:r>
    </w:p>
    <w:p w14:paraId="27E49D2A"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En su </w:t>
      </w:r>
      <w:r>
        <w:rPr>
          <w:rFonts w:ascii="Century Gothic" w:eastAsia="Century Gothic" w:hAnsi="Century Gothic" w:cs="Century Gothic"/>
          <w:i/>
          <w:iCs/>
          <w:sz w:val="22"/>
          <w:szCs w:val="22"/>
        </w:rPr>
        <w:t>stand</w:t>
      </w:r>
      <w:r>
        <w:rPr>
          <w:rFonts w:ascii="Century Gothic" w:eastAsia="Century Gothic" w:hAnsi="Century Gothic" w:cs="Century Gothic"/>
          <w:sz w:val="22"/>
          <w:szCs w:val="22"/>
        </w:rPr>
        <w:t xml:space="preserve">, Emirates presentó una experiencia inmersiva centrada en la accesibilidad que recrea el viaje a bordo para pasajeros ciegos o con visión reducida. Mediante una combinación de audio espacial, exploración táctil del asiento e interacción guiada con un anfitrión, la propuesta reproduce momentos clave de la experiencia en cabina en un entorno tranquilo y </w:t>
      </w:r>
      <w:r>
        <w:rPr>
          <w:rFonts w:ascii="Century Gothic" w:eastAsia="Century Gothic" w:hAnsi="Century Gothic" w:cs="Century Gothic"/>
          <w:i/>
          <w:iCs/>
          <w:sz w:val="22"/>
          <w:szCs w:val="22"/>
        </w:rPr>
        <w:t>premium</w:t>
      </w:r>
      <w:r>
        <w:rPr>
          <w:rFonts w:ascii="Century Gothic" w:eastAsia="Century Gothic" w:hAnsi="Century Gothic" w:cs="Century Gothic"/>
          <w:sz w:val="22"/>
          <w:szCs w:val="22"/>
        </w:rPr>
        <w:t>. Los visitantes pueden sumergirse en una experiencia guiada por audio en un asiento real del A350 de Emirates con reposacabezas U-Dream, mientras el audio describe todos los elementos de la cabina que les rodea. Más allá de la tecnología, la experiencia pone de relieve cómo un diseño bien pensado puede ayudar a los pasajeros a ganar confianza, comprender su entorno y viajar con mayor independencia, dignidad y facilidad.</w:t>
      </w:r>
    </w:p>
    <w:p w14:paraId="086E2077"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Acceso sin barreras y biometría de Emirates en Dubái</w:t>
      </w:r>
    </w:p>
    <w:p w14:paraId="03E01E4C"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En el </w:t>
      </w:r>
      <w:r>
        <w:rPr>
          <w:rFonts w:ascii="Century Gothic" w:eastAsia="Century Gothic" w:hAnsi="Century Gothic" w:cs="Century Gothic"/>
          <w:i/>
          <w:iCs/>
          <w:sz w:val="22"/>
          <w:szCs w:val="22"/>
        </w:rPr>
        <w:t>stand</w:t>
      </w:r>
      <w:r>
        <w:rPr>
          <w:rFonts w:ascii="Century Gothic" w:eastAsia="Century Gothic" w:hAnsi="Century Gothic" w:cs="Century Gothic"/>
          <w:sz w:val="22"/>
          <w:szCs w:val="22"/>
        </w:rPr>
        <w:t xml:space="preserve"> de Emirates, los visitantes pueden ver y probar el </w:t>
      </w:r>
      <w:r>
        <w:rPr>
          <w:rFonts w:ascii="Century Gothic" w:eastAsia="Century Gothic" w:hAnsi="Century Gothic" w:cs="Century Gothic"/>
          <w:i/>
          <w:iCs/>
          <w:sz w:val="22"/>
          <w:szCs w:val="22"/>
        </w:rPr>
        <w:t xml:space="preserve">Emirates </w:t>
      </w:r>
      <w:proofErr w:type="spellStart"/>
      <w:r>
        <w:rPr>
          <w:rFonts w:ascii="Century Gothic" w:eastAsia="Century Gothic" w:hAnsi="Century Gothic" w:cs="Century Gothic"/>
          <w:i/>
          <w:iCs/>
          <w:sz w:val="22"/>
          <w:szCs w:val="22"/>
        </w:rPr>
        <w:t>Biometric</w:t>
      </w:r>
      <w:proofErr w:type="spellEnd"/>
      <w:r>
        <w:rPr>
          <w:rFonts w:ascii="Century Gothic" w:eastAsia="Century Gothic" w:hAnsi="Century Gothic" w:cs="Century Gothic"/>
          <w:i/>
          <w:iCs/>
          <w:sz w:val="22"/>
          <w:szCs w:val="22"/>
        </w:rPr>
        <w:t xml:space="preserve"> Path</w:t>
      </w:r>
      <w:r>
        <w:rPr>
          <w:rFonts w:ascii="Century Gothic" w:eastAsia="Century Gothic" w:hAnsi="Century Gothic" w:cs="Century Gothic"/>
          <w:sz w:val="22"/>
          <w:szCs w:val="22"/>
        </w:rPr>
        <w:t xml:space="preserve">. En la Terminal 3 del Aeropuerto Internacional de Dubái, </w:t>
      </w:r>
      <w:proofErr w:type="spellStart"/>
      <w:proofErr w:type="gramStart"/>
      <w:r>
        <w:rPr>
          <w:rFonts w:ascii="Century Gothic" w:eastAsia="Century Gothic" w:hAnsi="Century Gothic" w:cs="Century Gothic"/>
          <w:i/>
          <w:iCs/>
          <w:sz w:val="22"/>
          <w:szCs w:val="22"/>
        </w:rPr>
        <w:t>hub</w:t>
      </w:r>
      <w:proofErr w:type="spellEnd"/>
      <w:proofErr w:type="gramEnd"/>
      <w:r>
        <w:rPr>
          <w:rFonts w:ascii="Century Gothic" w:eastAsia="Century Gothic" w:hAnsi="Century Gothic" w:cs="Century Gothic"/>
          <w:sz w:val="22"/>
          <w:szCs w:val="22"/>
        </w:rPr>
        <w:t xml:space="preserve"> de Emirates, las puertas de embarque accesibles cuentan con un diseño sin barreras y con tecnología biométrica que permite a los pasajeros con discapacidad desplazarse con fluidez y de forma autónoma. Actualmente, la zona dispone de una cobertura de cámaras que se ajustan automáticamente a distintas alturas y ángulos sin limitar ni condicionar los movimientos de las personas que se desplazan en silla de ruedas. Los quioscos de </w:t>
      </w:r>
      <w:proofErr w:type="spellStart"/>
      <w:r>
        <w:rPr>
          <w:rFonts w:ascii="Century Gothic" w:eastAsia="Century Gothic" w:hAnsi="Century Gothic" w:cs="Century Gothic"/>
          <w:sz w:val="22"/>
          <w:szCs w:val="22"/>
        </w:rPr>
        <w:t>autofacturación</w:t>
      </w:r>
      <w:proofErr w:type="spellEnd"/>
      <w:r>
        <w:rPr>
          <w:rFonts w:ascii="Century Gothic" w:eastAsia="Century Gothic" w:hAnsi="Century Gothic" w:cs="Century Gothic"/>
          <w:sz w:val="22"/>
          <w:szCs w:val="22"/>
        </w:rPr>
        <w:t xml:space="preserve"> de Emirates también se han mejorado, con función de texto a voz, pantallas táctiles más fáciles de usar, braille y elementos táctiles, accesibilidad por audio mediante conexión de auriculares e interfaces de altura regulable que responden a una mayor variedad de necesidades de los pasajeros.</w:t>
      </w:r>
    </w:p>
    <w:p w14:paraId="47F6EB67"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 xml:space="preserve">La </w:t>
      </w:r>
      <w:proofErr w:type="spellStart"/>
      <w:r>
        <w:rPr>
          <w:rFonts w:ascii="Century Gothic" w:eastAsia="Century Gothic" w:hAnsi="Century Gothic" w:cs="Century Gothic"/>
          <w:b/>
          <w:bCs/>
          <w:i/>
          <w:iCs/>
          <w:sz w:val="22"/>
          <w:szCs w:val="22"/>
        </w:rPr>
        <w:t>Accessible</w:t>
      </w:r>
      <w:proofErr w:type="spellEnd"/>
      <w:r>
        <w:rPr>
          <w:rFonts w:ascii="Century Gothic" w:eastAsia="Century Gothic" w:hAnsi="Century Gothic" w:cs="Century Gothic"/>
          <w:b/>
          <w:bCs/>
          <w:i/>
          <w:iCs/>
          <w:sz w:val="22"/>
          <w:szCs w:val="22"/>
        </w:rPr>
        <w:t xml:space="preserve"> Lounge Suite</w:t>
      </w:r>
      <w:r>
        <w:rPr>
          <w:rFonts w:ascii="Century Gothic" w:eastAsia="Century Gothic" w:hAnsi="Century Gothic" w:cs="Century Gothic"/>
          <w:b/>
          <w:bCs/>
          <w:sz w:val="22"/>
          <w:szCs w:val="22"/>
        </w:rPr>
        <w:t xml:space="preserve"> de Emirates</w:t>
      </w:r>
    </w:p>
    <w:p w14:paraId="66B1A52F"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Emirates también presentó un nuevo espacio accesible en silla de ruedas, que ofrece a los clientes con movilidad reducida un lugar cómodo y privado para descansar y recargar energías antes de su vuelo. Las </w:t>
      </w:r>
      <w:r>
        <w:rPr>
          <w:rFonts w:ascii="Century Gothic" w:eastAsia="Century Gothic" w:hAnsi="Century Gothic" w:cs="Century Gothic"/>
          <w:i/>
          <w:iCs/>
          <w:sz w:val="22"/>
          <w:szCs w:val="22"/>
        </w:rPr>
        <w:t>Emirates Lounge Suites</w:t>
      </w:r>
      <w:r>
        <w:rPr>
          <w:rFonts w:ascii="Century Gothic" w:eastAsia="Century Gothic" w:hAnsi="Century Gothic" w:cs="Century Gothic"/>
          <w:sz w:val="22"/>
          <w:szCs w:val="22"/>
        </w:rPr>
        <w:t xml:space="preserve"> ofrecen a los clientes un </w:t>
      </w:r>
      <w:r>
        <w:rPr>
          <w:rFonts w:ascii="Century Gothic" w:eastAsia="Century Gothic" w:hAnsi="Century Gothic" w:cs="Century Gothic"/>
          <w:sz w:val="22"/>
          <w:szCs w:val="22"/>
        </w:rPr>
        <w:lastRenderedPageBreak/>
        <w:t xml:space="preserve">espacio privado para relajarse, trabajar y comer con total comodidad, y se introdujeron por primera vez en las salas VIP de </w:t>
      </w:r>
      <w:r>
        <w:rPr>
          <w:rFonts w:ascii="Century Gothic" w:eastAsia="Century Gothic" w:hAnsi="Century Gothic" w:cs="Century Gothic"/>
          <w:i/>
          <w:iCs/>
          <w:sz w:val="22"/>
          <w:szCs w:val="22"/>
        </w:rPr>
        <w:t>First Class</w:t>
      </w:r>
      <w:r>
        <w:rPr>
          <w:rFonts w:ascii="Century Gothic" w:eastAsia="Century Gothic" w:hAnsi="Century Gothic" w:cs="Century Gothic"/>
          <w:sz w:val="22"/>
          <w:szCs w:val="22"/>
        </w:rPr>
        <w:t xml:space="preserve"> en 2024. Inspiradas en la experiencia de Emirates en tierra y a bordo, combinan un diseño </w:t>
      </w:r>
      <w:r>
        <w:rPr>
          <w:rFonts w:ascii="Century Gothic" w:eastAsia="Century Gothic" w:hAnsi="Century Gothic" w:cs="Century Gothic"/>
          <w:i/>
          <w:iCs/>
          <w:sz w:val="22"/>
          <w:szCs w:val="22"/>
        </w:rPr>
        <w:t>premium</w:t>
      </w:r>
      <w:r>
        <w:rPr>
          <w:rFonts w:ascii="Century Gothic" w:eastAsia="Century Gothic" w:hAnsi="Century Gothic" w:cs="Century Gothic"/>
          <w:sz w:val="22"/>
          <w:szCs w:val="22"/>
        </w:rPr>
        <w:t xml:space="preserve"> con tecnología integrada, como carga inalámbrica y pantallas de entretenimiento. La </w:t>
      </w:r>
      <w:proofErr w:type="spellStart"/>
      <w:r>
        <w:rPr>
          <w:rFonts w:ascii="Century Gothic" w:eastAsia="Century Gothic" w:hAnsi="Century Gothic" w:cs="Century Gothic"/>
          <w:i/>
          <w:iCs/>
          <w:sz w:val="22"/>
          <w:szCs w:val="22"/>
        </w:rPr>
        <w:t>Accessible</w:t>
      </w:r>
      <w:proofErr w:type="spellEnd"/>
      <w:r>
        <w:rPr>
          <w:rFonts w:ascii="Century Gothic" w:eastAsia="Century Gothic" w:hAnsi="Century Gothic" w:cs="Century Gothic"/>
          <w:i/>
          <w:iCs/>
          <w:sz w:val="22"/>
          <w:szCs w:val="22"/>
        </w:rPr>
        <w:t xml:space="preserve"> Lounge Suite</w:t>
      </w:r>
      <w:r>
        <w:rPr>
          <w:rFonts w:ascii="Century Gothic" w:eastAsia="Century Gothic" w:hAnsi="Century Gothic" w:cs="Century Gothic"/>
          <w:sz w:val="22"/>
          <w:szCs w:val="22"/>
        </w:rPr>
        <w:t xml:space="preserve"> es la siguiente evolución de este concepto. Está diseñada para pasajeros que utilizan silla de ruedas, pasajeros con movilidad reducida, viajeros de edad avanzada y cualquier persona que pueda beneficiarse de una mayor comodidad, de espacio para transferencias o de apoyo postural, manteniendo la privacidad y la calidad </w:t>
      </w:r>
      <w:r>
        <w:rPr>
          <w:rFonts w:ascii="Century Gothic" w:eastAsia="Century Gothic" w:hAnsi="Century Gothic" w:cs="Century Gothic"/>
          <w:i/>
          <w:iCs/>
          <w:sz w:val="22"/>
          <w:szCs w:val="22"/>
        </w:rPr>
        <w:t>premium</w:t>
      </w:r>
      <w:r>
        <w:rPr>
          <w:rFonts w:ascii="Century Gothic" w:eastAsia="Century Gothic" w:hAnsi="Century Gothic" w:cs="Century Gothic"/>
          <w:sz w:val="22"/>
          <w:szCs w:val="22"/>
        </w:rPr>
        <w:t xml:space="preserve"> de la </w:t>
      </w:r>
      <w:r>
        <w:rPr>
          <w:rFonts w:ascii="Century Gothic" w:eastAsia="Century Gothic" w:hAnsi="Century Gothic" w:cs="Century Gothic"/>
          <w:i/>
          <w:iCs/>
          <w:sz w:val="22"/>
          <w:szCs w:val="22"/>
        </w:rPr>
        <w:t>suite</w:t>
      </w:r>
      <w:r>
        <w:rPr>
          <w:rFonts w:ascii="Century Gothic" w:eastAsia="Century Gothic" w:hAnsi="Century Gothic" w:cs="Century Gothic"/>
          <w:sz w:val="22"/>
          <w:szCs w:val="22"/>
        </w:rPr>
        <w:t xml:space="preserve"> original. Con acabados en madera, piel y mármol de la última paleta de las salas VIP de Emirates, la </w:t>
      </w:r>
      <w:r>
        <w:rPr>
          <w:rFonts w:ascii="Century Gothic" w:eastAsia="Century Gothic" w:hAnsi="Century Gothic" w:cs="Century Gothic"/>
          <w:i/>
          <w:iCs/>
          <w:sz w:val="22"/>
          <w:szCs w:val="22"/>
        </w:rPr>
        <w:t>suite</w:t>
      </w:r>
      <w:r>
        <w:rPr>
          <w:rFonts w:ascii="Century Gothic" w:eastAsia="Century Gothic" w:hAnsi="Century Gothic" w:cs="Century Gothic"/>
          <w:sz w:val="22"/>
          <w:szCs w:val="22"/>
        </w:rPr>
        <w:t xml:space="preserve"> integra la accesibilidad en el propio diseño, con un sillón reclinable eléctrico con funciones de elevación, giro y reclinado, y barras de apoyo integradas que aportan mayor sujeción e independencia. La </w:t>
      </w:r>
      <w:r>
        <w:rPr>
          <w:rFonts w:ascii="Century Gothic" w:eastAsia="Century Gothic" w:hAnsi="Century Gothic" w:cs="Century Gothic"/>
          <w:i/>
          <w:iCs/>
          <w:sz w:val="22"/>
          <w:szCs w:val="22"/>
        </w:rPr>
        <w:t>suite</w:t>
      </w:r>
      <w:r>
        <w:rPr>
          <w:rFonts w:ascii="Century Gothic" w:eastAsia="Century Gothic" w:hAnsi="Century Gothic" w:cs="Century Gothic"/>
          <w:sz w:val="22"/>
          <w:szCs w:val="22"/>
        </w:rPr>
        <w:t xml:space="preserve"> dispone, además, de un espacio específico para guardar la silla de ruedas, de modo que los clientes puedan descansar de forma independiente o con la ayuda de un acompañante. El prototipo se está desarrollando actualmente para </w:t>
      </w:r>
      <w:r>
        <w:rPr>
          <w:rFonts w:ascii="Century Gothic" w:eastAsia="Century Gothic" w:hAnsi="Century Gothic" w:cs="Century Gothic"/>
          <w:i/>
          <w:iCs/>
          <w:sz w:val="22"/>
          <w:szCs w:val="22"/>
        </w:rPr>
        <w:t>First Class</w:t>
      </w:r>
      <w:r>
        <w:rPr>
          <w:rFonts w:ascii="Century Gothic" w:eastAsia="Century Gothic" w:hAnsi="Century Gothic" w:cs="Century Gothic"/>
          <w:sz w:val="22"/>
          <w:szCs w:val="22"/>
        </w:rPr>
        <w:t>, con la posibilidad de extenderlo a otras clases de cabina en el futuro.</w:t>
      </w:r>
    </w:p>
    <w:p w14:paraId="481AE2F3"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w:t>
      </w:r>
      <w:r>
        <w:rPr>
          <w:rFonts w:ascii="Century Gothic" w:eastAsia="Century Gothic" w:hAnsi="Century Gothic" w:cs="Century Gothic"/>
          <w:i/>
          <w:iCs/>
          <w:sz w:val="22"/>
          <w:szCs w:val="22"/>
        </w:rPr>
        <w:t>stand</w:t>
      </w:r>
      <w:r>
        <w:rPr>
          <w:rFonts w:ascii="Century Gothic" w:eastAsia="Century Gothic" w:hAnsi="Century Gothic" w:cs="Century Gothic"/>
          <w:sz w:val="22"/>
          <w:szCs w:val="22"/>
        </w:rPr>
        <w:t xml:space="preserve"> de Emirates también mostró varios de los productos y servicios que la aerolínea ofrece a sus clientes, entre ellos:</w:t>
      </w:r>
    </w:p>
    <w:p w14:paraId="4A816D2D"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i/>
          <w:iCs/>
          <w:sz w:val="22"/>
          <w:szCs w:val="22"/>
        </w:rPr>
      </w:pPr>
      <w:r>
        <w:rPr>
          <w:rFonts w:ascii="Century Gothic" w:eastAsia="Century Gothic" w:hAnsi="Century Gothic" w:cs="Century Gothic"/>
          <w:b/>
          <w:bCs/>
          <w:sz w:val="22"/>
          <w:szCs w:val="22"/>
        </w:rPr>
        <w:t xml:space="preserve">Programa </w:t>
      </w:r>
      <w:r>
        <w:rPr>
          <w:rFonts w:ascii="Century Gothic" w:eastAsia="Century Gothic" w:hAnsi="Century Gothic" w:cs="Century Gothic"/>
          <w:b/>
          <w:bCs/>
          <w:i/>
          <w:iCs/>
          <w:sz w:val="22"/>
          <w:szCs w:val="22"/>
        </w:rPr>
        <w:t xml:space="preserve">Emirates Travel </w:t>
      </w:r>
      <w:proofErr w:type="spellStart"/>
      <w:r>
        <w:rPr>
          <w:rFonts w:ascii="Century Gothic" w:eastAsia="Century Gothic" w:hAnsi="Century Gothic" w:cs="Century Gothic"/>
          <w:b/>
          <w:bCs/>
          <w:i/>
          <w:iCs/>
          <w:sz w:val="22"/>
          <w:szCs w:val="22"/>
        </w:rPr>
        <w:t>Rehearsals</w:t>
      </w:r>
      <w:proofErr w:type="spellEnd"/>
    </w:p>
    <w:p w14:paraId="62463C93"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Los </w:t>
      </w:r>
      <w:r>
        <w:rPr>
          <w:rFonts w:ascii="Century Gothic" w:eastAsia="Century Gothic" w:hAnsi="Century Gothic" w:cs="Century Gothic"/>
          <w:i/>
          <w:iCs/>
          <w:sz w:val="22"/>
          <w:szCs w:val="22"/>
        </w:rPr>
        <w:t xml:space="preserve">Emirates Travel </w:t>
      </w:r>
      <w:proofErr w:type="spellStart"/>
      <w:r>
        <w:rPr>
          <w:rFonts w:ascii="Century Gothic" w:eastAsia="Century Gothic" w:hAnsi="Century Gothic" w:cs="Century Gothic"/>
          <w:i/>
          <w:iCs/>
          <w:sz w:val="22"/>
          <w:szCs w:val="22"/>
        </w:rPr>
        <w:t>Rehearsals</w:t>
      </w:r>
      <w:proofErr w:type="spellEnd"/>
      <w:r>
        <w:rPr>
          <w:rFonts w:ascii="Century Gothic" w:eastAsia="Century Gothic" w:hAnsi="Century Gothic" w:cs="Century Gothic"/>
          <w:sz w:val="22"/>
          <w:szCs w:val="22"/>
        </w:rPr>
        <w:t xml:space="preserve"> son simulacros de viaje a medida, organizados por Emirates junto con aeropuertos de todo el mundo, que permiten a niños y jóvenes con autismo, acompañados de sus familias y redes de apoyo, practicar el recorrido por el aeropuerto como preparación para un vuelo real, lo que reduce la ansiedad asociada al viaje y les ayuda a volar con más confianza. Más de 35.000 empleados de Emirates han recibido formación para atender a clientes con autismo y pueden facilitarles tanto el viaje como los </w:t>
      </w:r>
      <w:r>
        <w:rPr>
          <w:rFonts w:ascii="Century Gothic" w:eastAsia="Century Gothic" w:hAnsi="Century Gothic" w:cs="Century Gothic"/>
          <w:i/>
          <w:iCs/>
          <w:sz w:val="22"/>
          <w:szCs w:val="22"/>
        </w:rPr>
        <w:t xml:space="preserve">Travel </w:t>
      </w:r>
      <w:proofErr w:type="spellStart"/>
      <w:r>
        <w:rPr>
          <w:rFonts w:ascii="Century Gothic" w:eastAsia="Century Gothic" w:hAnsi="Century Gothic" w:cs="Century Gothic"/>
          <w:i/>
          <w:iCs/>
          <w:sz w:val="22"/>
          <w:szCs w:val="22"/>
        </w:rPr>
        <w:t>Rehearsals</w:t>
      </w:r>
      <w:proofErr w:type="spellEnd"/>
      <w:r>
        <w:rPr>
          <w:rFonts w:ascii="Century Gothic" w:eastAsia="Century Gothic" w:hAnsi="Century Gothic" w:cs="Century Gothic"/>
          <w:sz w:val="22"/>
          <w:szCs w:val="22"/>
        </w:rPr>
        <w:t>. Los equipos de Emirates trabajan muy estrechamente con las autoridades aeroportuarias y sus socios para que cada simulacro sea una experiencia positiva y satisfactoria para las familias.</w:t>
      </w:r>
    </w:p>
    <w:p w14:paraId="3B8EBC74"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La aerolínea ha completado 80 </w:t>
      </w:r>
      <w:r>
        <w:rPr>
          <w:rFonts w:ascii="Century Gothic" w:eastAsia="Century Gothic" w:hAnsi="Century Gothic" w:cs="Century Gothic"/>
          <w:i/>
          <w:iCs/>
          <w:sz w:val="22"/>
          <w:szCs w:val="22"/>
        </w:rPr>
        <w:t xml:space="preserve">Emirates Travel </w:t>
      </w:r>
      <w:proofErr w:type="spellStart"/>
      <w:r>
        <w:rPr>
          <w:rFonts w:ascii="Century Gothic" w:eastAsia="Century Gothic" w:hAnsi="Century Gothic" w:cs="Century Gothic"/>
          <w:i/>
          <w:iCs/>
          <w:sz w:val="22"/>
          <w:szCs w:val="22"/>
        </w:rPr>
        <w:t>Rehearsals</w:t>
      </w:r>
      <w:proofErr w:type="spellEnd"/>
      <w:r>
        <w:rPr>
          <w:rFonts w:ascii="Century Gothic" w:eastAsia="Century Gothic" w:hAnsi="Century Gothic" w:cs="Century Gothic"/>
          <w:sz w:val="22"/>
          <w:szCs w:val="22"/>
        </w:rPr>
        <w:t xml:space="preserve"> en seis continentes, con más de 400 familias beneficiadas. Han tenido lugar en aeropuertos como: Accra, Ámsterdam, Antananarivo, Atenas, Bangkok, Barcelona, </w:t>
      </w:r>
      <w:proofErr w:type="spellStart"/>
      <w:r>
        <w:rPr>
          <w:rFonts w:ascii="Century Gothic" w:eastAsia="Century Gothic" w:hAnsi="Century Gothic" w:cs="Century Gothic"/>
          <w:sz w:val="22"/>
          <w:szCs w:val="22"/>
        </w:rPr>
        <w:t>Bengaluru</w:t>
      </w:r>
      <w:proofErr w:type="spellEnd"/>
      <w:r>
        <w:rPr>
          <w:rFonts w:ascii="Century Gothic" w:eastAsia="Century Gothic" w:hAnsi="Century Gothic" w:cs="Century Gothic"/>
          <w:sz w:val="22"/>
          <w:szCs w:val="22"/>
        </w:rPr>
        <w:t xml:space="preserve">, Birmingham, Bogotá, Bolonia, Brisbane, Bruselas, Budapest, El Cairo, Ciudad del Cabo, Cebú, Christchurch, Clark, Colombo, Copenhague, Da Nang, Dallas Fort Worth, Dar es Salaam, Delhi, Denpasar (Bali), Dubái, Dublín, Durban, Düsseldorf, Edimburgo, Ginebra, Glasgow, Cantón, Hamburgo, Hanói, Harare, Ciudad Ho Chi Minh, Hong Kong, Houston, Estambul, Yeda, Lárnaca, Lisboa, Londres Gatwick, Londres Heathrow, Londres </w:t>
      </w:r>
      <w:proofErr w:type="spellStart"/>
      <w:r>
        <w:rPr>
          <w:rFonts w:ascii="Century Gothic" w:eastAsia="Century Gothic" w:hAnsi="Century Gothic" w:cs="Century Gothic"/>
          <w:sz w:val="22"/>
          <w:szCs w:val="22"/>
        </w:rPr>
        <w:t>Stansted</w:t>
      </w:r>
      <w:proofErr w:type="spellEnd"/>
      <w:r>
        <w:rPr>
          <w:rFonts w:ascii="Century Gothic" w:eastAsia="Century Gothic" w:hAnsi="Century Gothic" w:cs="Century Gothic"/>
          <w:sz w:val="22"/>
          <w:szCs w:val="22"/>
        </w:rPr>
        <w:t xml:space="preserve">, Los Ángeles, Luanda, Lusaka, Madrid, Malé, Mánchester, Melbourne, Miami, Milán, Mascate, Newcastle, Niza, Orlando, Oslo, París, Perth, </w:t>
      </w:r>
      <w:proofErr w:type="spellStart"/>
      <w:r>
        <w:rPr>
          <w:rFonts w:ascii="Century Gothic" w:eastAsia="Century Gothic" w:hAnsi="Century Gothic" w:cs="Century Gothic"/>
          <w:sz w:val="22"/>
          <w:szCs w:val="22"/>
        </w:rPr>
        <w:t>Peshawar</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Phuket</w:t>
      </w:r>
      <w:proofErr w:type="spellEnd"/>
      <w:r>
        <w:rPr>
          <w:rFonts w:ascii="Century Gothic" w:eastAsia="Century Gothic" w:hAnsi="Century Gothic" w:cs="Century Gothic"/>
          <w:sz w:val="22"/>
          <w:szCs w:val="22"/>
        </w:rPr>
        <w:t>, Port Louis, Río de Janeiro, Roma, Seattle, Estocolmo, Sídney, Taipéi, Tokio, Toronto, Trivandrum, La Valeta, Venecia, Viena, Varsovia y Washington D.C.</w:t>
      </w:r>
    </w:p>
    <w:p w14:paraId="6DE07AF1"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 xml:space="preserve">El </w:t>
      </w:r>
      <w:proofErr w:type="spellStart"/>
      <w:r>
        <w:rPr>
          <w:rFonts w:ascii="Century Gothic" w:eastAsia="Century Gothic" w:hAnsi="Century Gothic" w:cs="Century Gothic"/>
          <w:b/>
          <w:bCs/>
          <w:i/>
          <w:iCs/>
          <w:sz w:val="22"/>
          <w:szCs w:val="22"/>
        </w:rPr>
        <w:t>Accessible</w:t>
      </w:r>
      <w:proofErr w:type="spellEnd"/>
      <w:r>
        <w:rPr>
          <w:rFonts w:ascii="Century Gothic" w:eastAsia="Century Gothic" w:hAnsi="Century Gothic" w:cs="Century Gothic"/>
          <w:b/>
          <w:bCs/>
          <w:i/>
          <w:iCs/>
          <w:sz w:val="22"/>
          <w:szCs w:val="22"/>
        </w:rPr>
        <w:t xml:space="preserve"> &amp; Inclusive Travel </w:t>
      </w:r>
      <w:proofErr w:type="gramStart"/>
      <w:r>
        <w:rPr>
          <w:rFonts w:ascii="Century Gothic" w:eastAsia="Century Gothic" w:hAnsi="Century Gothic" w:cs="Century Gothic"/>
          <w:b/>
          <w:bCs/>
          <w:i/>
          <w:iCs/>
          <w:sz w:val="22"/>
          <w:szCs w:val="22"/>
        </w:rPr>
        <w:t>Hub</w:t>
      </w:r>
      <w:proofErr w:type="gramEnd"/>
      <w:r>
        <w:rPr>
          <w:rFonts w:ascii="Century Gothic" w:eastAsia="Century Gothic" w:hAnsi="Century Gothic" w:cs="Century Gothic"/>
          <w:b/>
          <w:bCs/>
          <w:sz w:val="22"/>
          <w:szCs w:val="22"/>
        </w:rPr>
        <w:t xml:space="preserve"> en emirates.com</w:t>
      </w:r>
    </w:p>
    <w:p w14:paraId="57D9505B"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w:t>
      </w:r>
      <w:proofErr w:type="spellStart"/>
      <w:r>
        <w:rPr>
          <w:rFonts w:ascii="Century Gothic" w:eastAsia="Century Gothic" w:hAnsi="Century Gothic" w:cs="Century Gothic"/>
          <w:i/>
          <w:iCs/>
          <w:sz w:val="22"/>
          <w:szCs w:val="22"/>
        </w:rPr>
        <w:t>Accessible</w:t>
      </w:r>
      <w:proofErr w:type="spellEnd"/>
      <w:r>
        <w:rPr>
          <w:rFonts w:ascii="Century Gothic" w:eastAsia="Century Gothic" w:hAnsi="Century Gothic" w:cs="Century Gothic"/>
          <w:i/>
          <w:iCs/>
          <w:sz w:val="22"/>
          <w:szCs w:val="22"/>
        </w:rPr>
        <w:t xml:space="preserve"> &amp; Inclusive Travel </w:t>
      </w:r>
      <w:proofErr w:type="gramStart"/>
      <w:r>
        <w:rPr>
          <w:rFonts w:ascii="Century Gothic" w:eastAsia="Century Gothic" w:hAnsi="Century Gothic" w:cs="Century Gothic"/>
          <w:i/>
          <w:iCs/>
          <w:sz w:val="22"/>
          <w:szCs w:val="22"/>
        </w:rPr>
        <w:t>Hub</w:t>
      </w:r>
      <w:proofErr w:type="gramEnd"/>
      <w:r>
        <w:rPr>
          <w:rFonts w:ascii="Century Gothic" w:eastAsia="Century Gothic" w:hAnsi="Century Gothic" w:cs="Century Gothic"/>
          <w:sz w:val="22"/>
          <w:szCs w:val="22"/>
        </w:rPr>
        <w:t xml:space="preserve">, disponible en la web de emirates.com, reúne información para ayudar a los clientes a conocer los servicios de viaje accesible e inclusivo de Emirates, planificar su viaje e identificar la asistencia disponible. Los clientes pueden consultar las secciones según el tipo de discapacidad: asistencia a la movilidad, discapacidad visual, discapacidad auditiva, etc. Si lo prefieren, también pueden buscar por etapas del viaje: antes del vuelo, salida desde Dubái, a bordo, conexión en Dubái y llegada a Dubái. Una tercera opción permite navegar por necesidades específicas, como solicitar asistencia especial, prepararse para el viaje con la guía adaptada al autismo, consultar el mapa y las guías sensoriales del Aeropuerto de Dubái, encontrar la asistencia de Emirates en </w:t>
      </w:r>
      <w:r>
        <w:rPr>
          <w:rFonts w:ascii="Century Gothic" w:eastAsia="Century Gothic" w:hAnsi="Century Gothic" w:cs="Century Gothic"/>
          <w:i/>
          <w:iCs/>
          <w:sz w:val="22"/>
          <w:szCs w:val="22"/>
        </w:rPr>
        <w:t xml:space="preserve">Be </w:t>
      </w:r>
      <w:proofErr w:type="spellStart"/>
      <w:r>
        <w:rPr>
          <w:rFonts w:ascii="Century Gothic" w:eastAsia="Century Gothic" w:hAnsi="Century Gothic" w:cs="Century Gothic"/>
          <w:i/>
          <w:iCs/>
          <w:sz w:val="22"/>
          <w:szCs w:val="22"/>
        </w:rPr>
        <w:t>My</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Eyes</w:t>
      </w:r>
      <w:proofErr w:type="spellEnd"/>
      <w:r>
        <w:rPr>
          <w:rFonts w:ascii="Century Gothic" w:eastAsia="Century Gothic" w:hAnsi="Century Gothic" w:cs="Century Gothic"/>
          <w:sz w:val="22"/>
          <w:szCs w:val="22"/>
        </w:rPr>
        <w:t xml:space="preserve">, la </w:t>
      </w:r>
      <w:proofErr w:type="gramStart"/>
      <w:r>
        <w:rPr>
          <w:rFonts w:ascii="Century Gothic" w:eastAsia="Century Gothic" w:hAnsi="Century Gothic" w:cs="Century Gothic"/>
          <w:i/>
          <w:iCs/>
          <w:sz w:val="22"/>
          <w:szCs w:val="22"/>
        </w:rPr>
        <w:t>app</w:t>
      </w:r>
      <w:proofErr w:type="gramEnd"/>
      <w:r>
        <w:rPr>
          <w:rFonts w:ascii="Century Gothic" w:eastAsia="Century Gothic" w:hAnsi="Century Gothic" w:cs="Century Gothic"/>
          <w:sz w:val="22"/>
          <w:szCs w:val="22"/>
        </w:rPr>
        <w:t xml:space="preserve"> de apoyo para personas con discapacidad visual, o solicitar la tarjeta turística Sanad para acceder a servicios útiles en Dubái, entre otras.</w:t>
      </w:r>
    </w:p>
    <w:p w14:paraId="46ECA6F9"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w:t>
      </w:r>
      <w:proofErr w:type="spellStart"/>
      <w:proofErr w:type="gramStart"/>
      <w:r>
        <w:rPr>
          <w:rFonts w:ascii="Century Gothic" w:eastAsia="Century Gothic" w:hAnsi="Century Gothic" w:cs="Century Gothic"/>
          <w:i/>
          <w:iCs/>
          <w:sz w:val="22"/>
          <w:szCs w:val="22"/>
        </w:rPr>
        <w:t>hub</w:t>
      </w:r>
      <w:proofErr w:type="spellEnd"/>
      <w:proofErr w:type="gramEnd"/>
      <w:r>
        <w:rPr>
          <w:rFonts w:ascii="Century Gothic" w:eastAsia="Century Gothic" w:hAnsi="Century Gothic" w:cs="Century Gothic"/>
          <w:sz w:val="22"/>
          <w:szCs w:val="22"/>
        </w:rPr>
        <w:t xml:space="preserve"> también incluye secciones específicas sobre cómo viajar con silla de ruedas y ayudas a la movilidad, e información detallada sobre viajes por motivos médicos, como la </w:t>
      </w:r>
      <w:proofErr w:type="spellStart"/>
      <w:r>
        <w:rPr>
          <w:rFonts w:ascii="Century Gothic" w:eastAsia="Century Gothic" w:hAnsi="Century Gothic" w:cs="Century Gothic"/>
          <w:i/>
          <w:iCs/>
          <w:sz w:val="22"/>
          <w:szCs w:val="22"/>
        </w:rPr>
        <w:t>Frequent</w:t>
      </w:r>
      <w:proofErr w:type="spellEnd"/>
      <w:r>
        <w:rPr>
          <w:rFonts w:ascii="Century Gothic" w:eastAsia="Century Gothic" w:hAnsi="Century Gothic" w:cs="Century Gothic"/>
          <w:i/>
          <w:iCs/>
          <w:sz w:val="22"/>
          <w:szCs w:val="22"/>
        </w:rPr>
        <w:t xml:space="preserve"> Traveller Medical Card</w:t>
      </w:r>
      <w:r>
        <w:rPr>
          <w:rFonts w:ascii="Century Gothic" w:eastAsia="Century Gothic" w:hAnsi="Century Gothic" w:cs="Century Gothic"/>
          <w:sz w:val="22"/>
          <w:szCs w:val="22"/>
        </w:rPr>
        <w:t xml:space="preserve"> (FREMEC) para clientes que cumplan los requisitos y tengan afecciones médicas estables, así como orientación para viajar con </w:t>
      </w:r>
      <w:r>
        <w:rPr>
          <w:rFonts w:ascii="Century Gothic" w:eastAsia="Century Gothic" w:hAnsi="Century Gothic" w:cs="Century Gothic"/>
          <w:sz w:val="22"/>
          <w:szCs w:val="22"/>
        </w:rPr>
        <w:lastRenderedPageBreak/>
        <w:t>medicamentos y dispositivos médicos. Además, cuenta con una sección dedicada a los viajes en familia, con información clara sobre cómo viajar con niños, viajar durante el embarazo y los viajes de menores no acompañados.</w:t>
      </w:r>
    </w:p>
    <w:p w14:paraId="7FCE7838"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Productos sensoriales y</w:t>
      </w:r>
      <w:r>
        <w:rPr>
          <w:rFonts w:ascii="Century Gothic" w:eastAsia="Century Gothic" w:hAnsi="Century Gothic" w:cs="Century Gothic"/>
          <w:b/>
          <w:bCs/>
          <w:i/>
          <w:iCs/>
          <w:sz w:val="22"/>
          <w:szCs w:val="22"/>
        </w:rPr>
        <w:t xml:space="preserve"> </w:t>
      </w:r>
      <w:proofErr w:type="spellStart"/>
      <w:r>
        <w:rPr>
          <w:rFonts w:ascii="Century Gothic" w:eastAsia="Century Gothic" w:hAnsi="Century Gothic" w:cs="Century Gothic"/>
          <w:b/>
          <w:bCs/>
          <w:i/>
          <w:iCs/>
          <w:sz w:val="22"/>
          <w:szCs w:val="22"/>
        </w:rPr>
        <w:t>fidget</w:t>
      </w:r>
      <w:proofErr w:type="spellEnd"/>
      <w:r>
        <w:rPr>
          <w:rFonts w:ascii="Century Gothic" w:eastAsia="Century Gothic" w:hAnsi="Century Gothic" w:cs="Century Gothic"/>
          <w:b/>
          <w:bCs/>
          <w:i/>
          <w:iCs/>
          <w:sz w:val="22"/>
          <w:szCs w:val="22"/>
        </w:rPr>
        <w:t xml:space="preserve"> </w:t>
      </w:r>
      <w:proofErr w:type="spellStart"/>
      <w:r>
        <w:rPr>
          <w:rFonts w:ascii="Century Gothic" w:eastAsia="Century Gothic" w:hAnsi="Century Gothic" w:cs="Century Gothic"/>
          <w:b/>
          <w:bCs/>
          <w:i/>
          <w:iCs/>
          <w:sz w:val="22"/>
          <w:szCs w:val="22"/>
        </w:rPr>
        <w:t>toys</w:t>
      </w:r>
      <w:proofErr w:type="spellEnd"/>
      <w:r>
        <w:rPr>
          <w:rFonts w:ascii="Century Gothic" w:eastAsia="Century Gothic" w:hAnsi="Century Gothic" w:cs="Century Gothic"/>
          <w:b/>
          <w:bCs/>
          <w:sz w:val="22"/>
          <w:szCs w:val="22"/>
        </w:rPr>
        <w:t xml:space="preserve"> de Emirates</w:t>
      </w:r>
    </w:p>
    <w:p w14:paraId="2EE6ED69"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Emirates ha diseñado una gama de productos sensoriales y </w:t>
      </w:r>
      <w:proofErr w:type="spellStart"/>
      <w:r>
        <w:rPr>
          <w:rFonts w:ascii="Century Gothic" w:eastAsia="Century Gothic" w:hAnsi="Century Gothic" w:cs="Century Gothic"/>
          <w:i/>
          <w:iCs/>
          <w:sz w:val="22"/>
          <w:szCs w:val="22"/>
        </w:rPr>
        <w:t>fidget</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toys</w:t>
      </w:r>
      <w:proofErr w:type="spellEnd"/>
      <w:r>
        <w:rPr>
          <w:rFonts w:ascii="Century Gothic" w:eastAsia="Century Gothic" w:hAnsi="Century Gothic" w:cs="Century Gothic"/>
          <w:sz w:val="22"/>
          <w:szCs w:val="22"/>
        </w:rPr>
        <w:t xml:space="preserve"> para clientes de todas las edades, disponibles a bordo en todas las clases de cabina. Está ampliamente reconocido que estos objetos ofrecen una actividad táctil familiar y pueden ayudar a algunos pasajeros neurodivergentes a regular los estímulos sensoriales, concentrarse o sentirse más cómodos durante el viaje. Para acompañar a estos clientes, Emirates ha diseñado un antiestrés táctil con forma de avión, dos tipos de cubo antiestrés y un </w:t>
      </w:r>
      <w:proofErr w:type="spellStart"/>
      <w:r>
        <w:rPr>
          <w:rFonts w:ascii="Century Gothic" w:eastAsia="Century Gothic" w:hAnsi="Century Gothic" w:cs="Century Gothic"/>
          <w:i/>
          <w:iCs/>
          <w:sz w:val="22"/>
          <w:szCs w:val="22"/>
        </w:rPr>
        <w:t>popper</w:t>
      </w:r>
      <w:proofErr w:type="spellEnd"/>
      <w:r>
        <w:rPr>
          <w:rFonts w:ascii="Century Gothic" w:eastAsia="Century Gothic" w:hAnsi="Century Gothic" w:cs="Century Gothic"/>
          <w:sz w:val="22"/>
          <w:szCs w:val="22"/>
        </w:rPr>
        <w:t xml:space="preserve"> de goma con forma de avión y la imagen de la aerolínea. Estos artículos se ofrecen a pasajeros neurodivergentes, a cualquier persona que lo esté pasando mal a bordo e incluso, cuando procede, a quienes tienen miedo a volar.</w:t>
      </w:r>
    </w:p>
    <w:p w14:paraId="6C2EB2BA"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i/>
          <w:iCs/>
          <w:sz w:val="22"/>
          <w:szCs w:val="22"/>
        </w:rPr>
      </w:pPr>
      <w:r>
        <w:rPr>
          <w:rFonts w:ascii="Century Gothic" w:eastAsia="Century Gothic" w:hAnsi="Century Gothic" w:cs="Century Gothic"/>
          <w:b/>
          <w:bCs/>
          <w:sz w:val="22"/>
          <w:szCs w:val="22"/>
        </w:rPr>
        <w:t xml:space="preserve">Funciones de accesibilidad en el sistema de entretenimiento a bordo </w:t>
      </w:r>
      <w:r>
        <w:rPr>
          <w:rFonts w:ascii="Century Gothic" w:eastAsia="Century Gothic" w:hAnsi="Century Gothic" w:cs="Century Gothic"/>
          <w:b/>
          <w:bCs/>
          <w:i/>
          <w:iCs/>
          <w:sz w:val="22"/>
          <w:szCs w:val="22"/>
        </w:rPr>
        <w:t>ice</w:t>
      </w:r>
    </w:p>
    <w:p w14:paraId="568B84C0"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proofErr w:type="gramStart"/>
      <w:r>
        <w:rPr>
          <w:rFonts w:ascii="Century Gothic" w:eastAsia="Century Gothic" w:hAnsi="Century Gothic" w:cs="Century Gothic"/>
          <w:sz w:val="22"/>
          <w:szCs w:val="22"/>
        </w:rPr>
        <w:t>En relación al</w:t>
      </w:r>
      <w:proofErr w:type="gramEnd"/>
      <w:r>
        <w:rPr>
          <w:rFonts w:ascii="Century Gothic" w:eastAsia="Century Gothic" w:hAnsi="Century Gothic" w:cs="Century Gothic"/>
          <w:sz w:val="22"/>
          <w:szCs w:val="22"/>
        </w:rPr>
        <w:t xml:space="preserve"> compromiso de Emirates para marcar estándares en materia de accesibilidad para personas con discapacidad, la aerolínea ofrece más de 850 películas con subtítulos para personas sordas (</w:t>
      </w:r>
      <w:proofErr w:type="spellStart"/>
      <w:r>
        <w:rPr>
          <w:rFonts w:ascii="Century Gothic" w:eastAsia="Century Gothic" w:hAnsi="Century Gothic" w:cs="Century Gothic"/>
          <w:sz w:val="22"/>
          <w:szCs w:val="22"/>
        </w:rPr>
        <w:t>Closed</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Captions</w:t>
      </w:r>
      <w:proofErr w:type="spellEnd"/>
      <w:r>
        <w:rPr>
          <w:rFonts w:ascii="Century Gothic" w:eastAsia="Century Gothic" w:hAnsi="Century Gothic" w:cs="Century Gothic"/>
          <w:sz w:val="22"/>
          <w:szCs w:val="22"/>
        </w:rPr>
        <w:t xml:space="preserve">) y 200 películas con audiodescripción para clientes con discapacidad visual. Los auriculares de Emirates también son compatibles con audífonos cuando estos se configuran en la posición ‘T’. Para aliviar la ansiedad o favorecer la relajación, hay 12 canales de </w:t>
      </w:r>
      <w:proofErr w:type="spellStart"/>
      <w:r>
        <w:rPr>
          <w:rFonts w:ascii="Century Gothic" w:eastAsia="Century Gothic" w:hAnsi="Century Gothic" w:cs="Century Gothic"/>
          <w:sz w:val="22"/>
          <w:szCs w:val="22"/>
        </w:rPr>
        <w:t>Wellbeing</w:t>
      </w:r>
      <w:proofErr w:type="spellEnd"/>
      <w:r>
        <w:rPr>
          <w:rFonts w:ascii="Century Gothic" w:eastAsia="Century Gothic" w:hAnsi="Century Gothic" w:cs="Century Gothic"/>
          <w:sz w:val="22"/>
          <w:szCs w:val="22"/>
        </w:rPr>
        <w:t xml:space="preserve"> TV y 31 canales de </w:t>
      </w:r>
      <w:r>
        <w:rPr>
          <w:rFonts w:ascii="Century Gothic" w:eastAsia="Century Gothic" w:hAnsi="Century Gothic" w:cs="Century Gothic"/>
          <w:i/>
          <w:iCs/>
          <w:sz w:val="22"/>
          <w:szCs w:val="22"/>
        </w:rPr>
        <w:t>podcasts</w:t>
      </w:r>
      <w:r>
        <w:rPr>
          <w:rFonts w:ascii="Century Gothic" w:eastAsia="Century Gothic" w:hAnsi="Century Gothic" w:cs="Century Gothic"/>
          <w:sz w:val="22"/>
          <w:szCs w:val="22"/>
        </w:rPr>
        <w:t xml:space="preserve"> y listas de reproducción de </w:t>
      </w:r>
      <w:r>
        <w:rPr>
          <w:rFonts w:ascii="Century Gothic" w:eastAsia="Century Gothic" w:hAnsi="Century Gothic" w:cs="Century Gothic"/>
          <w:i/>
          <w:iCs/>
          <w:sz w:val="22"/>
          <w:szCs w:val="22"/>
        </w:rPr>
        <w:t xml:space="preserve">Happiness and </w:t>
      </w:r>
      <w:proofErr w:type="spellStart"/>
      <w:r>
        <w:rPr>
          <w:rFonts w:ascii="Century Gothic" w:eastAsia="Century Gothic" w:hAnsi="Century Gothic" w:cs="Century Gothic"/>
          <w:i/>
          <w:iCs/>
          <w:sz w:val="22"/>
          <w:szCs w:val="22"/>
        </w:rPr>
        <w:t>Wellbeing</w:t>
      </w:r>
      <w:proofErr w:type="spellEnd"/>
      <w:r>
        <w:rPr>
          <w:rFonts w:ascii="Century Gothic" w:eastAsia="Century Gothic" w:hAnsi="Century Gothic" w:cs="Century Gothic"/>
          <w:sz w:val="22"/>
          <w:szCs w:val="22"/>
        </w:rPr>
        <w:t>, con sesiones de meditación y sonidos relajantes.</w:t>
      </w:r>
    </w:p>
    <w:p w14:paraId="4170AB44"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 bordo del Airbus A350-900 de Emirates, se ha diseñado una nueva interfaz de usuario en </w:t>
      </w:r>
      <w:r>
        <w:rPr>
          <w:rFonts w:ascii="Century Gothic" w:eastAsia="Century Gothic" w:hAnsi="Century Gothic" w:cs="Century Gothic"/>
          <w:i/>
          <w:iCs/>
          <w:sz w:val="22"/>
          <w:szCs w:val="22"/>
        </w:rPr>
        <w:t>ice</w:t>
      </w:r>
      <w:r>
        <w:rPr>
          <w:rFonts w:ascii="Century Gothic" w:eastAsia="Century Gothic" w:hAnsi="Century Gothic" w:cs="Century Gothic"/>
          <w:sz w:val="22"/>
          <w:szCs w:val="22"/>
        </w:rPr>
        <w:t xml:space="preserve">, en colaboración con Thales y asociaciones de personas con discapacidad visual, para garantizar que todos los clientes disfruten de una experiencia de entretenimiento a bordo intuitiva y de alta calidad. La interfaz incluye navegación mediante señales sonoras, descripción por voz de la información de los contenidos y </w:t>
      </w:r>
      <w:r>
        <w:rPr>
          <w:rFonts w:ascii="Century Gothic" w:eastAsia="Century Gothic" w:hAnsi="Century Gothic" w:cs="Century Gothic"/>
          <w:sz w:val="22"/>
          <w:szCs w:val="22"/>
        </w:rPr>
        <w:lastRenderedPageBreak/>
        <w:t>compatibilidad con gestos táctiles y de deslizamiento, lo que ayuda a los pasajeros ciegos o con baja visión a navegar y seleccionar contenidos de forma más autónoma.</w:t>
      </w:r>
    </w:p>
    <w:p w14:paraId="1A6730AA"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 xml:space="preserve">Servicio </w:t>
      </w:r>
      <w:proofErr w:type="spellStart"/>
      <w:r>
        <w:rPr>
          <w:rFonts w:ascii="Century Gothic" w:eastAsia="Century Gothic" w:hAnsi="Century Gothic" w:cs="Century Gothic"/>
          <w:b/>
          <w:bCs/>
          <w:i/>
          <w:iCs/>
          <w:sz w:val="22"/>
          <w:szCs w:val="22"/>
        </w:rPr>
        <w:t>Chauffeur</w:t>
      </w:r>
      <w:proofErr w:type="spellEnd"/>
      <w:r>
        <w:rPr>
          <w:rFonts w:ascii="Century Gothic" w:eastAsia="Century Gothic" w:hAnsi="Century Gothic" w:cs="Century Gothic"/>
          <w:b/>
          <w:bCs/>
          <w:i/>
          <w:iCs/>
          <w:sz w:val="22"/>
          <w:szCs w:val="22"/>
        </w:rPr>
        <w:t xml:space="preserve"> Drive</w:t>
      </w:r>
      <w:r>
        <w:rPr>
          <w:rFonts w:ascii="Century Gothic" w:eastAsia="Century Gothic" w:hAnsi="Century Gothic" w:cs="Century Gothic"/>
          <w:b/>
          <w:bCs/>
          <w:sz w:val="22"/>
          <w:szCs w:val="22"/>
        </w:rPr>
        <w:t xml:space="preserve"> accesible de Emirates</w:t>
      </w:r>
    </w:p>
    <w:p w14:paraId="03C29EE3"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Los clientes en Dubái ya disponen de 10 vehículos accesibles para sillas de ruedas con la imagen de Emirates. El vehículo accesible de Emirates </w:t>
      </w:r>
      <w:proofErr w:type="spellStart"/>
      <w:r>
        <w:rPr>
          <w:rFonts w:ascii="Century Gothic" w:eastAsia="Century Gothic" w:hAnsi="Century Gothic" w:cs="Century Gothic"/>
          <w:i/>
          <w:iCs/>
          <w:sz w:val="22"/>
          <w:szCs w:val="22"/>
        </w:rPr>
        <w:t>Chauffeur</w:t>
      </w:r>
      <w:proofErr w:type="spellEnd"/>
      <w:r>
        <w:rPr>
          <w:rFonts w:ascii="Century Gothic" w:eastAsia="Century Gothic" w:hAnsi="Century Gothic" w:cs="Century Gothic"/>
          <w:i/>
          <w:iCs/>
          <w:sz w:val="22"/>
          <w:szCs w:val="22"/>
        </w:rPr>
        <w:t xml:space="preserve"> Drive</w:t>
      </w:r>
      <w:r>
        <w:rPr>
          <w:rFonts w:ascii="Century Gothic" w:eastAsia="Century Gothic" w:hAnsi="Century Gothic" w:cs="Century Gothic"/>
          <w:sz w:val="22"/>
          <w:szCs w:val="22"/>
        </w:rPr>
        <w:t xml:space="preserve"> es un Mercedes Clase V con un </w:t>
      </w:r>
      <w:r>
        <w:rPr>
          <w:rFonts w:ascii="Century Gothic" w:eastAsia="Century Gothic" w:hAnsi="Century Gothic" w:cs="Century Gothic"/>
          <w:i/>
          <w:iCs/>
          <w:sz w:val="22"/>
          <w:szCs w:val="22"/>
        </w:rPr>
        <w:t>kit</w:t>
      </w:r>
      <w:r>
        <w:rPr>
          <w:rFonts w:ascii="Century Gothic" w:eastAsia="Century Gothic" w:hAnsi="Century Gothic" w:cs="Century Gothic"/>
          <w:sz w:val="22"/>
          <w:szCs w:val="22"/>
        </w:rPr>
        <w:t xml:space="preserve"> de conversión de piso rebajado que ofrece un acceso fácil y seguro, mayor altura libre para la cabeza, un mecanismo eléctrico de arrastre que facilita la subida y bajada de los pasajeros y distintas opciones de configuración de los asientos. Una vez dentro, los sistemas de sujeción adicionales garantizan la seguridad de los clientes con discapacidades graves de movilidad. Los chóferes de Emirates están recibiendo formación en asistencia a la movilidad y en atención a clientes con discapacidad. Actualmente, el vehículo accesible se utiliza para los clientes de </w:t>
      </w:r>
      <w:r>
        <w:rPr>
          <w:rFonts w:ascii="Century Gothic" w:eastAsia="Century Gothic" w:hAnsi="Century Gothic" w:cs="Century Gothic"/>
          <w:i/>
          <w:iCs/>
          <w:sz w:val="22"/>
          <w:szCs w:val="22"/>
        </w:rPr>
        <w:t>First Class</w:t>
      </w:r>
      <w:r>
        <w:rPr>
          <w:rFonts w:ascii="Century Gothic" w:eastAsia="Century Gothic" w:hAnsi="Century Gothic" w:cs="Century Gothic"/>
          <w:sz w:val="22"/>
          <w:szCs w:val="22"/>
        </w:rPr>
        <w:t xml:space="preserve"> y </w:t>
      </w:r>
      <w:r>
        <w:rPr>
          <w:rFonts w:ascii="Century Gothic" w:eastAsia="Century Gothic" w:hAnsi="Century Gothic" w:cs="Century Gothic"/>
          <w:i/>
          <w:iCs/>
          <w:sz w:val="22"/>
          <w:szCs w:val="22"/>
        </w:rPr>
        <w:t>Business Class</w:t>
      </w:r>
      <w:r>
        <w:rPr>
          <w:rFonts w:ascii="Century Gothic" w:eastAsia="Century Gothic" w:hAnsi="Century Gothic" w:cs="Century Gothic"/>
          <w:sz w:val="22"/>
          <w:szCs w:val="22"/>
        </w:rPr>
        <w:t xml:space="preserve"> con derecho al servicio de chófer en Dubái, y está previsto ampliar su disponibilidad en el futuro.</w:t>
      </w:r>
    </w:p>
    <w:p w14:paraId="5C56159F"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El compromiso de Emirates con el viaje accesible engloba lo siguiente:</w:t>
      </w:r>
    </w:p>
    <w:p w14:paraId="6D886693"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Impulsar el cambio</w:t>
      </w:r>
    </w:p>
    <w:p w14:paraId="24D4123C"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Emirates está impulsando el cambio en el sector de la aviación con el objetivo de hacer que viajar sea más accesible e inclusivo para todos. Como parte de este esfuerzo, Emirates creó una oficina específica de Accesibilidad e Inclusión y, en marzo de 2025, se convirtió en la primera aerolínea del mundo con la certificación </w:t>
      </w:r>
      <w:proofErr w:type="spellStart"/>
      <w:r>
        <w:rPr>
          <w:rFonts w:ascii="Century Gothic" w:eastAsia="Century Gothic" w:hAnsi="Century Gothic" w:cs="Century Gothic"/>
          <w:i/>
          <w:iCs/>
          <w:sz w:val="22"/>
          <w:szCs w:val="22"/>
        </w:rPr>
        <w:t>Autism</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Certified</w:t>
      </w:r>
      <w:proofErr w:type="spellEnd"/>
      <w:r>
        <w:rPr>
          <w:rFonts w:ascii="Century Gothic" w:eastAsia="Century Gothic" w:hAnsi="Century Gothic" w:cs="Century Gothic"/>
          <w:sz w:val="22"/>
          <w:szCs w:val="22"/>
        </w:rPr>
        <w:t xml:space="preserve">. Emirates ha formado a más de 35.000 empleados para atender a clientes con autismo y ha puesto en marcha la iniciativa </w:t>
      </w:r>
      <w:r>
        <w:rPr>
          <w:rFonts w:ascii="Century Gothic" w:eastAsia="Century Gothic" w:hAnsi="Century Gothic" w:cs="Century Gothic"/>
          <w:i/>
          <w:iCs/>
          <w:sz w:val="22"/>
          <w:szCs w:val="22"/>
        </w:rPr>
        <w:t xml:space="preserve">Travel </w:t>
      </w:r>
      <w:proofErr w:type="spellStart"/>
      <w:r>
        <w:rPr>
          <w:rFonts w:ascii="Century Gothic" w:eastAsia="Century Gothic" w:hAnsi="Century Gothic" w:cs="Century Gothic"/>
          <w:i/>
          <w:iCs/>
          <w:sz w:val="22"/>
          <w:szCs w:val="22"/>
        </w:rPr>
        <w:t>Rehearsal</w:t>
      </w:r>
      <w:proofErr w:type="spellEnd"/>
      <w:r>
        <w:rPr>
          <w:rFonts w:ascii="Century Gothic" w:eastAsia="Century Gothic" w:hAnsi="Century Gothic" w:cs="Century Gothic"/>
          <w:sz w:val="22"/>
          <w:szCs w:val="22"/>
        </w:rPr>
        <w:t xml:space="preserve"> en seis continentes, que permite a los clientes familiarizarse con los detalles de la experiencia en el aeropuerto antes de viajar.</w:t>
      </w:r>
    </w:p>
    <w:p w14:paraId="76CC52CC"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Diseñar con dignidad</w:t>
      </w:r>
    </w:p>
    <w:p w14:paraId="1791557F"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Emirates trabaja en el diseño de nuevas políticas, procesos y productos centrados en la dignidad de los clientes con necesidades de accesibilidad. Con el objetivo de que todos los clientes puedan volar con confianza, en los últimos años Emirates ha introducido una nueva política y un nuevo compromiso de accesibilidad, ha implantado nuevos procesos en sus centros de atención telefónica para responder a las necesidades de los clientes, ha lanzado el </w:t>
      </w:r>
      <w:proofErr w:type="spellStart"/>
      <w:r>
        <w:rPr>
          <w:rFonts w:ascii="Century Gothic" w:eastAsia="Century Gothic" w:hAnsi="Century Gothic" w:cs="Century Gothic"/>
          <w:i/>
          <w:iCs/>
          <w:sz w:val="22"/>
          <w:szCs w:val="22"/>
        </w:rPr>
        <w:t>Accessible</w:t>
      </w:r>
      <w:proofErr w:type="spellEnd"/>
      <w:r>
        <w:rPr>
          <w:rFonts w:ascii="Century Gothic" w:eastAsia="Century Gothic" w:hAnsi="Century Gothic" w:cs="Century Gothic"/>
          <w:i/>
          <w:iCs/>
          <w:sz w:val="22"/>
          <w:szCs w:val="22"/>
        </w:rPr>
        <w:t xml:space="preserve"> &amp; Inclusive Travel Hub</w:t>
      </w:r>
      <w:r>
        <w:rPr>
          <w:rFonts w:ascii="Century Gothic" w:eastAsia="Century Gothic" w:hAnsi="Century Gothic" w:cs="Century Gothic"/>
          <w:sz w:val="22"/>
          <w:szCs w:val="22"/>
        </w:rPr>
        <w:t xml:space="preserve"> en emirates.com para mejorar la experiencia del cliente y ha introducido numerosos productos nuevos para facilitar el viaje accesible, desarrollados a partir de las opiniones directas de comunidades y colectivos con necesidades de viaje accesible.</w:t>
      </w:r>
    </w:p>
    <w:p w14:paraId="3D89A681"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Avanzar en accesibilidad</w:t>
      </w:r>
    </w:p>
    <w:p w14:paraId="64C573A2" w14:textId="77777777" w:rsidR="000D5366"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Emirates sigue impulsando la agenda del viaje accesible en un ámbito en constante evolución, haciendo lo que es correcto y responsable, paso a paso y dando prioridad a la innovación. La aerolínea colabora, además, con una amplia variedad de socios a escala internacional para seguir avanzando, desde legisladores y operadores hasta colectivos y comunidades específicas, así como clientes de todo el mundo. Emirates también aspira a mejorar la accesibilidad estandarizando sus procesos a nivel global y aportando coherencia en todos los canales: online, en los centros de atención telefónica, en los aeropuertos y a bordo.</w:t>
      </w:r>
    </w:p>
    <w:p w14:paraId="05F206B7" w14:textId="77777777" w:rsidR="000D5366" w:rsidRDefault="000D5366">
      <w:pPr>
        <w:pBdr>
          <w:top w:val="nil"/>
          <w:left w:val="nil"/>
          <w:bottom w:val="nil"/>
          <w:right w:val="nil"/>
          <w:between w:val="nil"/>
        </w:pBdr>
        <w:spacing w:before="280" w:line="360" w:lineRule="auto"/>
        <w:jc w:val="both"/>
        <w:rPr>
          <w:rFonts w:ascii="Century Gothic" w:eastAsia="Century Gothic" w:hAnsi="Century Gothic" w:cs="Century Gothic"/>
          <w:b/>
          <w:bCs/>
          <w:i/>
          <w:iCs/>
          <w:color w:val="000000"/>
          <w:sz w:val="18"/>
          <w:szCs w:val="18"/>
        </w:rPr>
      </w:pPr>
    </w:p>
    <w:sectPr w:rsidR="000D5366">
      <w:headerReference w:type="default" r:id="rId7"/>
      <w:pgSz w:w="11900" w:h="16840"/>
      <w:pgMar w:top="1417" w:right="1268" w:bottom="734"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2BA1E0" w14:textId="77777777" w:rsidR="00615D58" w:rsidRDefault="00615D58">
      <w:r>
        <w:separator/>
      </w:r>
    </w:p>
  </w:endnote>
  <w:endnote w:type="continuationSeparator" w:id="0">
    <w:p w14:paraId="14005FFD" w14:textId="77777777" w:rsidR="00615D58" w:rsidRDefault="00615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D36CBDF-FE81-3F4C-886B-DFE6193889D5}"/>
    <w:embedBold r:id="rId2" w:fontKey="{F7D71E44-03F9-234F-B86E-67A8906F05CB}"/>
    <w:embedItalic r:id="rId3" w:fontKey="{93E0D69F-9F47-0747-8B38-C388D02973CA}"/>
  </w:font>
  <w:font w:name="Calibri">
    <w:panose1 w:val="020F0502020204030204"/>
    <w:charset w:val="00"/>
    <w:family w:val="modern"/>
    <w:pitch w:val="variable"/>
    <w:sig w:usb0="00000003" w:usb1="00000000" w:usb2="00000000" w:usb3="00000000" w:csb0="00000001" w:csb1="00000000"/>
    <w:embedRegular r:id="rId4" w:fontKey="{6BC5FE3F-AD8D-414B-A6E9-2C2AB10E4B71}"/>
  </w:font>
  <w:font w:name="Cambria">
    <w:panose1 w:val="02040503050406030204"/>
    <w:charset w:val="00"/>
    <w:family w:val="roman"/>
    <w:pitch w:val="variable"/>
    <w:sig w:usb0="E00002FF" w:usb1="400004FF" w:usb2="00000000" w:usb3="00000000" w:csb0="0000019F" w:csb1="00000000"/>
    <w:embedRegular r:id="rId5" w:fontKey="{5DF1A56C-7D9C-6340-A4D6-9BB284829C63}"/>
  </w:font>
  <w:font w:name="Georgia">
    <w:panose1 w:val="02040502050405020303"/>
    <w:charset w:val="00"/>
    <w:family w:val="roman"/>
    <w:pitch w:val="variable"/>
    <w:sig w:usb0="00000287" w:usb1="00000000" w:usb2="00000000" w:usb3="00000000" w:csb0="0000009F" w:csb1="00000000"/>
    <w:embedItalic r:id="rId6" w:fontKey="{C6F05E72-6ADD-8940-A16B-FCF2A09DD46B}"/>
  </w:font>
  <w:font w:name="Century Gothic">
    <w:panose1 w:val="020B0502020202020204"/>
    <w:charset w:val="00"/>
    <w:family w:val="swiss"/>
    <w:pitch w:val="variable"/>
    <w:sig w:usb0="00000287" w:usb1="00000000" w:usb2="00000000" w:usb3="00000000" w:csb0="0000009F" w:csb1="00000000"/>
    <w:embedRegular r:id="rId7" w:fontKey="{F5AEF63B-FF5A-434C-B38A-733C2E2E3FE3}"/>
    <w:embedBold r:id="rId8" w:fontKey="{0CA48F90-D08C-F240-B849-F191DE3EEDE9}"/>
    <w:embedItalic r:id="rId9" w:fontKey="{38B0E2AE-822D-404E-894B-429D740901BC}"/>
    <w:embedBoldItalic r:id="rId10" w:fontKey="{FEDF7EFD-5B64-E946-87B6-395C41129AE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DB6A16" w14:textId="77777777" w:rsidR="00615D58" w:rsidRDefault="00615D58">
      <w:r>
        <w:separator/>
      </w:r>
    </w:p>
  </w:footnote>
  <w:footnote w:type="continuationSeparator" w:id="0">
    <w:p w14:paraId="78CBC22C" w14:textId="77777777" w:rsidR="00615D58" w:rsidRDefault="00615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A45FA" w14:textId="77777777" w:rsidR="000D5366" w:rsidRDefault="00000000">
    <w:pPr>
      <w:pBdr>
        <w:top w:val="nil"/>
        <w:left w:val="nil"/>
        <w:bottom w:val="nil"/>
        <w:right w:val="nil"/>
        <w:between w:val="nil"/>
      </w:pBdr>
      <w:tabs>
        <w:tab w:val="right" w:pos="8478"/>
      </w:tabs>
      <w:spacing w:after="200"/>
      <w:rPr>
        <w:rFonts w:ascii="Cambria" w:eastAsia="Cambria" w:hAnsi="Cambria" w:cs="Cambria"/>
        <w:color w:val="000000"/>
      </w:rPr>
    </w:pPr>
    <w:r>
      <w:rPr>
        <w:noProof/>
      </w:rPr>
      <w:drawing>
        <wp:anchor distT="0" distB="0" distL="0" distR="0" simplePos="0" relativeHeight="251658240" behindDoc="0" locked="0" layoutInCell="1" hidden="0" allowOverlap="1" wp14:anchorId="2F8D3E7C" wp14:editId="58A2F2C9">
          <wp:simplePos x="0" y="0"/>
          <wp:positionH relativeFrom="column">
            <wp:posOffset>0</wp:posOffset>
          </wp:positionH>
          <wp:positionV relativeFrom="paragraph">
            <wp:posOffset>0</wp:posOffset>
          </wp:positionV>
          <wp:extent cx="2073275" cy="1430655"/>
          <wp:effectExtent l="0" t="0" r="0" b="0"/>
          <wp:wrapSquare wrapText="bothSides" distT="0" distB="0" distL="0" distR="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3275" cy="1430655"/>
                  </a:xfrm>
                  <a:prstGeom prst="rect">
                    <a:avLst/>
                  </a:prstGeom>
                  <a:ln/>
                </pic:spPr>
              </pic:pic>
            </a:graphicData>
          </a:graphic>
        </wp:anchor>
      </w:drawing>
    </w:r>
  </w:p>
  <w:p w14:paraId="7E8B6447" w14:textId="77777777" w:rsidR="000D5366" w:rsidRDefault="000D5366">
    <w:pPr>
      <w:pBdr>
        <w:top w:val="nil"/>
        <w:left w:val="nil"/>
        <w:bottom w:val="nil"/>
        <w:right w:val="nil"/>
        <w:between w:val="nil"/>
      </w:pBdr>
      <w:tabs>
        <w:tab w:val="right" w:pos="8478"/>
      </w:tabs>
      <w:spacing w:after="200"/>
      <w:rPr>
        <w:rFonts w:ascii="Cambria" w:eastAsia="Cambria" w:hAnsi="Cambria" w:cs="Cambria"/>
        <w:color w:val="000000"/>
      </w:rPr>
    </w:pPr>
  </w:p>
  <w:p w14:paraId="4492FD8A" w14:textId="77777777" w:rsidR="000D5366" w:rsidRDefault="000D5366">
    <w:pPr>
      <w:pBdr>
        <w:top w:val="nil"/>
        <w:left w:val="nil"/>
        <w:bottom w:val="nil"/>
        <w:right w:val="nil"/>
        <w:between w:val="nil"/>
      </w:pBdr>
      <w:tabs>
        <w:tab w:val="right" w:pos="8478"/>
      </w:tabs>
      <w:spacing w:after="200"/>
      <w:rPr>
        <w:rFonts w:ascii="Cambria" w:eastAsia="Cambria" w:hAnsi="Cambria" w:cs="Cambria"/>
        <w:color w:val="000000"/>
      </w:rPr>
    </w:pPr>
  </w:p>
  <w:p w14:paraId="561579D0" w14:textId="77777777" w:rsidR="000D5366" w:rsidRDefault="000D5366">
    <w:pPr>
      <w:pBdr>
        <w:top w:val="nil"/>
        <w:left w:val="nil"/>
        <w:bottom w:val="nil"/>
        <w:right w:val="nil"/>
        <w:between w:val="nil"/>
      </w:pBdr>
      <w:tabs>
        <w:tab w:val="right" w:pos="8478"/>
      </w:tabs>
      <w:spacing w:after="200"/>
      <w:rPr>
        <w:rFonts w:ascii="Cambria" w:eastAsia="Cambria" w:hAnsi="Cambria" w:cs="Cambria"/>
        <w:color w:val="000000"/>
      </w:rPr>
    </w:pPr>
  </w:p>
  <w:p w14:paraId="10EF02DF" w14:textId="77777777" w:rsidR="000D5366" w:rsidRDefault="000D5366">
    <w:pPr>
      <w:pBdr>
        <w:top w:val="nil"/>
        <w:left w:val="nil"/>
        <w:bottom w:val="nil"/>
        <w:right w:val="nil"/>
        <w:between w:val="nil"/>
      </w:pBdr>
      <w:tabs>
        <w:tab w:val="right" w:pos="8478"/>
      </w:tabs>
      <w:spacing w:after="200"/>
      <w:rPr>
        <w:rFonts w:ascii="Cambria" w:eastAsia="Cambria" w:hAnsi="Cambria" w:cs="Cambria"/>
        <w:color w:val="000000"/>
      </w:rPr>
    </w:pPr>
  </w:p>
  <w:p w14:paraId="3C4DE47A" w14:textId="77777777" w:rsidR="000D5366" w:rsidRDefault="000D5366">
    <w:pPr>
      <w:pBdr>
        <w:top w:val="nil"/>
        <w:left w:val="nil"/>
        <w:bottom w:val="nil"/>
        <w:right w:val="nil"/>
        <w:between w:val="nil"/>
      </w:pBdr>
      <w:tabs>
        <w:tab w:val="right" w:pos="8478"/>
      </w:tabs>
      <w:spacing w:after="200"/>
      <w:rPr>
        <w:rFonts w:ascii="Cambria" w:eastAsia="Cambria" w:hAnsi="Cambria" w:cs="Cambria"/>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366"/>
    <w:rsid w:val="000D5366"/>
    <w:rsid w:val="00615D58"/>
    <w:rsid w:val="00790321"/>
    <w:rsid w:val="00C751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A30E290"/>
  <w15:docId w15:val="{A83EA016-D276-7F40-9EC6-EDE8F2D8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Pr>
  </w:style>
  <w:style w:type="paragraph" w:styleId="Prrafodelista">
    <w:name w:val="List Paragraph"/>
    <w:aliases w:val="numbered,Paragraphe de liste1,Bullet List,FooterText"/>
    <w:basedOn w:val="Normal"/>
    <w:link w:val="PrrafodelistaCar"/>
    <w:uiPriority w:val="34"/>
    <w:qFormat/>
    <w:rsid w:val="004348AD"/>
    <w:pPr>
      <w:ind w:left="720"/>
      <w:contextualSpacing/>
    </w:pPr>
  </w:style>
  <w:style w:type="character" w:styleId="Hipervnculo">
    <w:name w:val="Hyperlink"/>
    <w:basedOn w:val="Fuentedeprrafopredeter"/>
    <w:uiPriority w:val="99"/>
    <w:unhideWhenUsed/>
    <w:rsid w:val="00D15796"/>
    <w:rPr>
      <w:color w:val="0000FF" w:themeColor="hyperlink"/>
      <w:u w:val="single"/>
    </w:rPr>
  </w:style>
  <w:style w:type="character" w:customStyle="1" w:styleId="Mencinsinresolver1">
    <w:name w:val="Mención sin resolver1"/>
    <w:basedOn w:val="Fuentedeprrafopredeter"/>
    <w:uiPriority w:val="99"/>
    <w:semiHidden/>
    <w:unhideWhenUsed/>
    <w:rsid w:val="007E7562"/>
    <w:rPr>
      <w:color w:val="605E5C"/>
      <w:shd w:val="clear" w:color="auto" w:fill="E1DFDD"/>
    </w:rPr>
  </w:style>
  <w:style w:type="character" w:styleId="Hipervnculovisitado">
    <w:name w:val="FollowedHyperlink"/>
    <w:basedOn w:val="Fuentedeprrafopredeter"/>
    <w:uiPriority w:val="99"/>
    <w:semiHidden/>
    <w:unhideWhenUsed/>
    <w:rsid w:val="007E7562"/>
    <w:rPr>
      <w:color w:val="800080" w:themeColor="followedHyperlink"/>
      <w:u w:val="single"/>
    </w:rPr>
  </w:style>
  <w:style w:type="paragraph" w:styleId="Encabezado">
    <w:name w:val="header"/>
    <w:basedOn w:val="Normal"/>
    <w:link w:val="EncabezadoCar"/>
    <w:uiPriority w:val="99"/>
    <w:unhideWhenUsed/>
    <w:rsid w:val="003E7D4F"/>
    <w:pPr>
      <w:tabs>
        <w:tab w:val="center" w:pos="4252"/>
        <w:tab w:val="right" w:pos="8504"/>
      </w:tabs>
    </w:pPr>
  </w:style>
  <w:style w:type="character" w:customStyle="1" w:styleId="EncabezadoCar">
    <w:name w:val="Encabezado Car"/>
    <w:basedOn w:val="Fuentedeprrafopredeter"/>
    <w:link w:val="Encabezado"/>
    <w:uiPriority w:val="99"/>
    <w:rsid w:val="003E7D4F"/>
  </w:style>
  <w:style w:type="paragraph" w:styleId="Piedepgina">
    <w:name w:val="footer"/>
    <w:basedOn w:val="Normal"/>
    <w:link w:val="PiedepginaCar"/>
    <w:uiPriority w:val="99"/>
    <w:unhideWhenUsed/>
    <w:rsid w:val="003E7D4F"/>
    <w:pPr>
      <w:tabs>
        <w:tab w:val="center" w:pos="4252"/>
        <w:tab w:val="right" w:pos="8504"/>
      </w:tabs>
    </w:pPr>
  </w:style>
  <w:style w:type="character" w:customStyle="1" w:styleId="PiedepginaCar">
    <w:name w:val="Pie de página Car"/>
    <w:basedOn w:val="Fuentedeprrafopredeter"/>
    <w:link w:val="Piedepgina"/>
    <w:uiPriority w:val="99"/>
    <w:rsid w:val="003E7D4F"/>
  </w:style>
  <w:style w:type="paragraph" w:styleId="NormalWeb">
    <w:name w:val="Normal (Web)"/>
    <w:basedOn w:val="Normal"/>
    <w:uiPriority w:val="99"/>
    <w:unhideWhenUsed/>
    <w:rsid w:val="001863FF"/>
    <w:pPr>
      <w:spacing w:before="100" w:beforeAutospacing="1" w:after="100" w:afterAutospacing="1"/>
    </w:pPr>
    <w:rPr>
      <w:rFonts w:ascii="Calibri" w:eastAsiaTheme="minorHAnsi" w:hAnsi="Calibri" w:cs="Calibri"/>
      <w:sz w:val="22"/>
      <w:szCs w:val="22"/>
      <w:lang w:val="en-GB"/>
    </w:rPr>
  </w:style>
  <w:style w:type="character" w:styleId="Fuerte">
    <w:name w:val="Strong"/>
    <w:basedOn w:val="Fuentedeprrafopredeter"/>
    <w:uiPriority w:val="22"/>
    <w:qFormat/>
    <w:rsid w:val="009368A3"/>
    <w:rPr>
      <w:b/>
      <w:bCs/>
    </w:rPr>
  </w:style>
  <w:style w:type="character" w:styleId="Mencinsinresolver">
    <w:name w:val="Unresolved Mention"/>
    <w:basedOn w:val="Fuentedeprrafopredeter"/>
    <w:uiPriority w:val="99"/>
    <w:semiHidden/>
    <w:unhideWhenUsed/>
    <w:rsid w:val="005647D6"/>
    <w:rPr>
      <w:color w:val="605E5C"/>
      <w:shd w:val="clear" w:color="auto" w:fill="E1DFDD"/>
    </w:rPr>
  </w:style>
  <w:style w:type="paragraph" w:styleId="Textocomentario">
    <w:name w:val="annotation text"/>
    <w:basedOn w:val="Normal"/>
    <w:link w:val="TextocomentarioCar"/>
    <w:uiPriority w:val="99"/>
    <w:semiHidden/>
    <w:unhideWhenUsed/>
    <w:rsid w:val="005647D6"/>
    <w:pPr>
      <w:spacing w:after="160"/>
    </w:pPr>
    <w:rPr>
      <w:rFonts w:asciiTheme="minorHAnsi" w:eastAsiaTheme="minorEastAsia" w:hAnsiTheme="minorHAnsi" w:cstheme="minorBidi"/>
      <w:sz w:val="20"/>
      <w:szCs w:val="20"/>
      <w:lang w:val="en-GB" w:eastAsia="zh-CN"/>
    </w:rPr>
  </w:style>
  <w:style w:type="character" w:customStyle="1" w:styleId="TextocomentarioCar">
    <w:name w:val="Texto comentario Car"/>
    <w:basedOn w:val="Fuentedeprrafopredeter"/>
    <w:link w:val="Textocomentario"/>
    <w:uiPriority w:val="99"/>
    <w:semiHidden/>
    <w:rsid w:val="005647D6"/>
    <w:rPr>
      <w:rFonts w:asciiTheme="minorHAnsi" w:eastAsiaTheme="minorEastAsia" w:hAnsiTheme="minorHAnsi" w:cstheme="minorBidi"/>
      <w:sz w:val="20"/>
      <w:szCs w:val="20"/>
      <w:lang w:val="en-GB" w:eastAsia="zh-CN"/>
    </w:rPr>
  </w:style>
  <w:style w:type="character" w:customStyle="1" w:styleId="PrrafodelistaCar">
    <w:name w:val="Párrafo de lista Car"/>
    <w:aliases w:val="numbered Car,Paragraphe de liste1 Car,Bullet List Car,FooterText Car"/>
    <w:basedOn w:val="Fuentedeprrafopredeter"/>
    <w:link w:val="Prrafodelista"/>
    <w:uiPriority w:val="34"/>
    <w:locked/>
    <w:rsid w:val="005647D6"/>
  </w:style>
  <w:style w:type="character" w:customStyle="1" w:styleId="wordsection1Char">
    <w:name w:val="wordsection1 Char"/>
    <w:basedOn w:val="Fuentedeprrafopredeter"/>
    <w:link w:val="wordsection1"/>
    <w:uiPriority w:val="99"/>
    <w:locked/>
    <w:rsid w:val="005647D6"/>
    <w:rPr>
      <w:rFonts w:ascii="Calibri" w:hAnsi="Calibri" w:cs="Calibri"/>
    </w:rPr>
  </w:style>
  <w:style w:type="paragraph" w:customStyle="1" w:styleId="wordsection1">
    <w:name w:val="wordsection1"/>
    <w:basedOn w:val="Normal"/>
    <w:link w:val="wordsection1Char"/>
    <w:uiPriority w:val="99"/>
    <w:rsid w:val="005647D6"/>
    <w:rPr>
      <w:rFonts w:ascii="Calibri" w:hAnsi="Calibri" w:cs="Calibri"/>
    </w:rPr>
  </w:style>
  <w:style w:type="character" w:styleId="Refdecomentario">
    <w:name w:val="annotation reference"/>
    <w:basedOn w:val="Fuentedeprrafopredeter"/>
    <w:uiPriority w:val="99"/>
    <w:semiHidden/>
    <w:unhideWhenUsed/>
    <w:rsid w:val="005647D6"/>
    <w:rPr>
      <w:sz w:val="16"/>
      <w:szCs w:val="16"/>
    </w:rPr>
  </w:style>
  <w:style w:type="character" w:customStyle="1" w:styleId="normaltextrun">
    <w:name w:val="normaltextrun"/>
    <w:basedOn w:val="Fuentedeprrafopredeter"/>
    <w:rsid w:val="005647D6"/>
  </w:style>
  <w:style w:type="table" w:customStyle="1" w:styleId="a0">
    <w:basedOn w:val="TableNormal1"/>
    <w:tblPr>
      <w:tblStyleRowBandSize w:val="1"/>
      <w:tblStyleColBandSize w:val="1"/>
    </w:tblPr>
  </w:style>
  <w:style w:type="character" w:styleId="nfasis">
    <w:name w:val="Emphasis"/>
    <w:basedOn w:val="Fuentedeprrafopredeter"/>
    <w:uiPriority w:val="20"/>
    <w:qFormat/>
    <w:rsid w:val="000D6301"/>
    <w:rPr>
      <w:i/>
      <w:iCs/>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hmMqMFCtoB7gX+TNi+syCkf43w==">CgMxLjA4AGoiChRzdWdnZXN0LmhpNHBjbmNlaHB1OBIKQW5hIExsb3ZldGohChNzdWdnZXN0LmozN3hvbjd5aHBxEgpBbmEgTGxvdmV0aiIKFHN1Z2dlc3QuaHc1cGdycThpc2k0EgpBbmEgTGxvdmV0aiIKFHN1Z2dlc3Qud2xnNHc3YmRka2JqEgpBbmEgTGxvdmV0aiIKFHN1Z2dlc3QuZTRjNzhxMXJ4NWd0EgpBbmEgTGxvdmV0aiIKFHN1Z2dlc3QuOWVjd2x5ZHRxN2xjEgpBbmEgTGxvdmV0aiIKFHN1Z2dlc3Qub2J5ZXh1OXo3dDlrEgpBbmEgTGxvdmV0aiIKFHN1Z2dlc3QudDhnNGNsZWt1cnVtEgpBbmEgTGxvdmV0aiIKFHN1Z2dlc3QuYXBpdWpzOWFyNzdhEgpBbmEgTGxvdmV0aiIKFHN1Z2dlc3QuZnFhZzV4emRsZGduEgpBbmEgTGxvdmV0aiIKFHN1Z2dlc3QucnptNnl0N3RsYmQ1EgpBbmEgTGxvdmV0ciExQ2otS3MxMUllYkgwSFpZMVY2aXhBam1TQk5BOE0xc3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2139</Words>
  <Characters>11675</Characters>
  <Application>Microsoft Office Word</Application>
  <DocSecurity>0</DocSecurity>
  <Lines>183</Lines>
  <Paragraphs>36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13783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Andie</cp:lastModifiedBy>
  <cp:revision>2</cp:revision>
  <dcterms:created xsi:type="dcterms:W3CDTF">2026-10-19T16:29:00Z</dcterms:created>
  <dcterms:modified xsi:type="dcterms:W3CDTF">2026-10-20T10:33:00Z</dcterms:modified>
  <cp:category/>
</cp:coreProperties>
</file>