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957336" w14:textId="77777777" w:rsidR="005B311F" w:rsidRDefault="00000000">
      <w:pPr>
        <w:spacing w:before="240" w:after="240" w:line="360" w:lineRule="auto"/>
        <w:jc w:val="center"/>
      </w:pPr>
      <w:r>
        <w:rPr>
          <w:rFonts w:ascii="Verdana" w:eastAsia="Verdana" w:hAnsi="Verdana" w:cs="Verdana"/>
          <w:sz w:val="20"/>
          <w:szCs w:val="20"/>
        </w:rPr>
        <w:br/>
      </w:r>
      <w:r>
        <w:rPr>
          <w:rFonts w:ascii="Verdana" w:eastAsia="Verdana" w:hAnsi="Verdana" w:cs="Verdana"/>
          <w:b/>
          <w:bCs/>
        </w:rPr>
        <w:t>El viajero español que encadena varios destinos en un mismo billete gasta un 80 % más y alarga su viaje tres días</w:t>
      </w:r>
    </w:p>
    <w:p w14:paraId="0E71BB28" w14:textId="77777777" w:rsidR="005B311F" w:rsidRDefault="00000000">
      <w:pPr>
        <w:spacing w:before="240" w:after="240" w:line="360" w:lineRule="auto"/>
        <w:jc w:val="center"/>
      </w:pPr>
      <w:r>
        <w:rPr>
          <w:rFonts w:ascii="Verdana" w:eastAsia="Verdana" w:hAnsi="Verdana" w:cs="Verdana"/>
          <w:i/>
          <w:iCs/>
          <w:sz w:val="20"/>
          <w:szCs w:val="20"/>
        </w:rPr>
        <w:t>El billete de un viaje multidestino se sitúa en 343 euros por pasajero, frente a los 191 euros de un ida y vuelta convencional, según datos de Kiwi.com</w:t>
      </w:r>
    </w:p>
    <w:p w14:paraId="3C25AD85" w14:textId="77777777" w:rsidR="005B311F" w:rsidRDefault="00000000">
      <w:pPr>
        <w:spacing w:before="240" w:after="240" w:line="360" w:lineRule="auto"/>
        <w:jc w:val="center"/>
      </w:pPr>
      <w:r>
        <w:rPr>
          <w:rFonts w:ascii="Verdana" w:eastAsia="Verdana" w:hAnsi="Verdana" w:cs="Verdana"/>
          <w:i/>
          <w:iCs/>
          <w:sz w:val="20"/>
          <w:szCs w:val="20"/>
        </w:rPr>
        <w:t>Son itinerarios que se reservan con más antelación, duran siete días de media y se recorren casi siempre en pareja</w:t>
      </w:r>
    </w:p>
    <w:p w14:paraId="0C7EA5CE" w14:textId="77777777" w:rsidR="005B311F" w:rsidRDefault="00000000">
      <w:pPr>
        <w:spacing w:before="240" w:after="240" w:line="360" w:lineRule="auto"/>
        <w:jc w:val="both"/>
      </w:pPr>
      <w:r>
        <w:rPr>
          <w:rFonts w:ascii="Verdana" w:eastAsia="Verdana" w:hAnsi="Verdana" w:cs="Verdana"/>
          <w:b/>
          <w:bCs/>
          <w:sz w:val="20"/>
          <w:szCs w:val="20"/>
        </w:rPr>
        <w:br/>
        <w:t>Barcelona, 1 de octubre de 2026:</w:t>
      </w:r>
      <w:r>
        <w:rPr>
          <w:rFonts w:ascii="Verdana" w:eastAsia="Verdana" w:hAnsi="Verdana" w:cs="Verdana"/>
          <w:sz w:val="20"/>
          <w:szCs w:val="20"/>
        </w:rPr>
        <w:t xml:space="preserve"> Combinar varias ciudades o países en un único billete sigue siendo cosa de una minoría de viajeros españoles con un perfil muy reconocible. Kiwi.com, empresa líder en tecnología de viajes, ha analizado los viajes multidestino de sus clientes de nacionalidad española durante la temporada alta del año, entre el 1 de junio y el 31 de agosto, y el retrato es el de un viaje más caro, más largo y mucho más planificado que la media.</w:t>
      </w:r>
    </w:p>
    <w:p w14:paraId="71AB852F" w14:textId="77777777" w:rsidR="005B311F" w:rsidRDefault="00000000">
      <w:pPr>
        <w:spacing w:before="240" w:after="240" w:line="360" w:lineRule="auto"/>
        <w:jc w:val="both"/>
      </w:pPr>
      <w:r>
        <w:rPr>
          <w:rFonts w:ascii="Verdana" w:eastAsia="Verdana" w:hAnsi="Verdana" w:cs="Verdana"/>
          <w:sz w:val="20"/>
          <w:szCs w:val="20"/>
        </w:rPr>
        <w:t>La diferencia de gasto es la más llamativa. Un pasajero que reserva un itinerario multidestino paga 343 euros de media, frente a los 191 euros de quien compra un ida y vuelta clásico y los 122 euros de un billete de solo ida. La brecha, de un 80 % respecto al ida y vuelta, no se explica solo por la distancia recorrida: cada reserva multidestino incluye 3,08 vuelos de media, frente a los 2,35 de un ida y vuelta.</w:t>
      </w:r>
    </w:p>
    <w:p w14:paraId="5C214280" w14:textId="77777777" w:rsidR="005B311F" w:rsidRDefault="00000000">
      <w:pPr>
        <w:spacing w:before="240" w:after="240" w:line="360" w:lineRule="auto"/>
        <w:jc w:val="both"/>
      </w:pPr>
      <w:r>
        <w:rPr>
          <w:rFonts w:ascii="Verdana" w:eastAsia="Verdana" w:hAnsi="Verdana" w:cs="Verdana"/>
          <w:sz w:val="20"/>
          <w:szCs w:val="20"/>
        </w:rPr>
        <w:t>"No es el viaje que se compra a última hora ni el de fin de semana", explica Daniela Chovancová, PR Manager de Kiwi.com. "Quien encadena destinos sabe desde el principio que va a estar fuera más tiempo, reserva con más margen y suele hacerlo acompañado. Es un viaje pensado, y esa planificación es justo lo que nos piden cuando entran en la plataforma a montar un itinerario complejo."</w:t>
      </w:r>
    </w:p>
    <w:p w14:paraId="03010E08" w14:textId="77777777" w:rsidR="005B311F" w:rsidRDefault="00000000">
      <w:pPr>
        <w:spacing w:before="240" w:after="240" w:line="360" w:lineRule="auto"/>
        <w:jc w:val="both"/>
        <w:rPr>
          <w:rFonts w:ascii="Verdana" w:eastAsia="Verdana" w:hAnsi="Verdana" w:cs="Verdana"/>
          <w:sz w:val="20"/>
          <w:szCs w:val="20"/>
        </w:rPr>
      </w:pPr>
      <w:r>
        <w:rPr>
          <w:rFonts w:ascii="Verdana" w:eastAsia="Verdana" w:hAnsi="Verdana" w:cs="Verdana"/>
          <w:sz w:val="20"/>
          <w:szCs w:val="20"/>
        </w:rPr>
        <w:t>El tiempo es la otra gran diferencia. Un viaje multidestino dura 8,6 días de media, mientras que un ida y vuelta se queda en 5,6 días de media.</w:t>
      </w:r>
    </w:p>
    <w:p w14:paraId="5A84011A" w14:textId="77777777" w:rsidR="005B311F" w:rsidRDefault="00000000">
      <w:pPr>
        <w:spacing w:before="240" w:after="240" w:line="360" w:lineRule="auto"/>
        <w:jc w:val="both"/>
      </w:pPr>
      <w:r>
        <w:rPr>
          <w:rFonts w:ascii="Verdana" w:eastAsia="Verdana" w:hAnsi="Verdana" w:cs="Verdana"/>
          <w:sz w:val="20"/>
          <w:szCs w:val="20"/>
        </w:rPr>
        <w:t>Tampoco se viaja igual de acompañado, ya que cada reserva multidestino mueve 1,95 viajeros, de manera que en la práctica la fórmula habitual es la de dos personas recorriendo juntas varias ciudades.</w:t>
      </w:r>
    </w:p>
    <w:p w14:paraId="152B2522" w14:textId="77777777" w:rsidR="005B311F" w:rsidRDefault="00000000">
      <w:pPr>
        <w:spacing w:before="240" w:after="240" w:line="360" w:lineRule="auto"/>
        <w:jc w:val="both"/>
      </w:pPr>
      <w:r>
        <w:rPr>
          <w:rFonts w:ascii="Verdana" w:eastAsia="Verdana" w:hAnsi="Verdana" w:cs="Verdana"/>
          <w:sz w:val="20"/>
          <w:szCs w:val="20"/>
        </w:rPr>
        <w:lastRenderedPageBreak/>
        <w:t>La planificación se nota además en el calendario. Estos itinerarios se reservan con 66 días de antelación de media, frente a los 60,8 días de un ida y vuelta y los 51,2 de un billete de ida. La media de todos los viajes de verano se sitúa en 55,8 días, así que quien va a combinar destinos se adelanta más de una semana al viajero medio.</w:t>
      </w:r>
    </w:p>
    <w:p w14:paraId="333C35EF" w14:textId="77777777" w:rsidR="005B311F" w:rsidRDefault="00000000">
      <w:pPr>
        <w:spacing w:before="240" w:after="240" w:line="360" w:lineRule="auto"/>
        <w:jc w:val="both"/>
      </w:pPr>
      <w:r>
        <w:rPr>
          <w:rFonts w:ascii="Verdana" w:eastAsia="Verdana" w:hAnsi="Verdana" w:cs="Verdana"/>
          <w:sz w:val="20"/>
          <w:szCs w:val="20"/>
        </w:rPr>
        <w:t xml:space="preserve">Detrás de estos itinerarios hay dos formatos distintos en Kiwi.com. Con Multi-City es el propio cliente quien decide el orden de las ciudades, mientras que Smart Multi-City deja que el algoritmo de Kiwi.com calcule la secuencia más eficiente entre los destinos elegidos. En ambos casos, buena parte de las combinaciones solo existen gracias al </w:t>
      </w:r>
      <w:proofErr w:type="spellStart"/>
      <w:r>
        <w:rPr>
          <w:rFonts w:ascii="Verdana" w:eastAsia="Verdana" w:hAnsi="Verdana" w:cs="Verdana"/>
          <w:i/>
          <w:iCs/>
          <w:sz w:val="20"/>
          <w:szCs w:val="20"/>
        </w:rPr>
        <w:t>interlining</w:t>
      </w:r>
      <w:proofErr w:type="spellEnd"/>
      <w:r>
        <w:rPr>
          <w:rFonts w:ascii="Verdana" w:eastAsia="Verdana" w:hAnsi="Verdana" w:cs="Verdana"/>
          <w:i/>
          <w:iCs/>
          <w:sz w:val="20"/>
          <w:szCs w:val="20"/>
        </w:rPr>
        <w:t xml:space="preserve"> virtual</w:t>
      </w:r>
      <w:r>
        <w:rPr>
          <w:rFonts w:ascii="Verdana" w:eastAsia="Verdana" w:hAnsi="Verdana" w:cs="Verdana"/>
          <w:sz w:val="20"/>
          <w:szCs w:val="20"/>
        </w:rPr>
        <w:t xml:space="preserve">, la tecnología que permite unir en una sola reserva vuelos de aerolíneas que no tienen ningún acuerdo entre sí. </w:t>
      </w:r>
    </w:p>
    <w:p w14:paraId="27EDEE96" w14:textId="77777777" w:rsidR="005B311F" w:rsidRDefault="00000000">
      <w:pPr>
        <w:spacing w:before="240" w:after="240" w:line="360" w:lineRule="auto"/>
        <w:jc w:val="both"/>
      </w:pPr>
      <w:r>
        <w:rPr>
          <w:rFonts w:ascii="Verdana" w:eastAsia="Verdana" w:hAnsi="Verdana" w:cs="Verdana"/>
          <w:sz w:val="20"/>
          <w:szCs w:val="20"/>
        </w:rPr>
        <w:t xml:space="preserve">Por aeropuertos de salida, el multidestino sigue apoyándose en los dos grandes: Madrid-Barajas concentra el 25,2 % de los pasajeros y Barcelona-El Prat el 16,5 %, cerca de cuatro de cada diez salidas entre ambos. El resto se reparte entre </w:t>
      </w:r>
      <w:proofErr w:type="spellStart"/>
      <w:r>
        <w:rPr>
          <w:rFonts w:ascii="Verdana" w:eastAsia="Verdana" w:hAnsi="Verdana" w:cs="Verdana"/>
          <w:i/>
          <w:iCs/>
          <w:sz w:val="20"/>
          <w:szCs w:val="20"/>
        </w:rPr>
        <w:t>hubs</w:t>
      </w:r>
      <w:proofErr w:type="spellEnd"/>
      <w:r>
        <w:rPr>
          <w:rFonts w:ascii="Verdana" w:eastAsia="Verdana" w:hAnsi="Verdana" w:cs="Verdana"/>
          <w:sz w:val="20"/>
          <w:szCs w:val="20"/>
        </w:rPr>
        <w:t xml:space="preserve"> regionales, con Málaga (5,7 %), Bilbao (5,6 %) y Valencia (5,4 %) por delante de Sevilla (2,8 %) y Alicante (2,7 %).</w:t>
      </w:r>
    </w:p>
    <w:p w14:paraId="6DE6C562" w14:textId="77777777" w:rsidR="005B311F" w:rsidRDefault="00000000">
      <w:pPr>
        <w:spacing w:before="240" w:after="240" w:line="360" w:lineRule="auto"/>
        <w:jc w:val="both"/>
      </w:pPr>
      <w:r>
        <w:rPr>
          <w:rFonts w:ascii="Verdana" w:eastAsia="Verdana" w:hAnsi="Verdana" w:cs="Verdana"/>
          <w:sz w:val="20"/>
          <w:szCs w:val="20"/>
        </w:rPr>
        <w:t>El multidestino no es, por tanto, el viaje mayoritario del verano español, pero es el que más tiempo ocupa, el que más se prepara y el que más valor deja, y sigue siendo el terreno donde la diferencia entre un buscador y otro se nota de verdad.</w:t>
      </w:r>
    </w:p>
    <w:p w14:paraId="492F3916" w14:textId="77777777" w:rsidR="005B311F" w:rsidRDefault="00000000">
      <w:pPr>
        <w:spacing w:before="240" w:after="240" w:line="360" w:lineRule="auto"/>
        <w:jc w:val="both"/>
      </w:pPr>
      <w:r>
        <w:rPr>
          <w:rFonts w:ascii="Verdana" w:eastAsia="Verdana" w:hAnsi="Verdana" w:cs="Verdana"/>
          <w:i/>
          <w:iCs/>
          <w:sz w:val="20"/>
          <w:szCs w:val="20"/>
        </w:rPr>
        <w:t xml:space="preserve">*Datos analizados: reservas finalizadas realizadas en Kiwi.com por clientes de nacionalidad española con fecha de salida entre el 1 de junio y el 31 de agosto de 2026. Se consideran viajes multidestino las reservas de los tipos Multi-City y Smart Multi-City de Kiwi.com. Los precios corresponden a ventas brutas por pasajero e incluyen la totalidad del itinerario. La duración del viaje se calcula sobre reservas de ida y vuelta y multidestino, quedando excluidos los billetes de solo ida. Las reservas realizadas mediante </w:t>
      </w:r>
      <w:proofErr w:type="spellStart"/>
      <w:r>
        <w:rPr>
          <w:rFonts w:ascii="Verdana" w:eastAsia="Verdana" w:hAnsi="Verdana" w:cs="Verdana"/>
          <w:i/>
          <w:iCs/>
          <w:sz w:val="20"/>
          <w:szCs w:val="20"/>
        </w:rPr>
        <w:t>Build</w:t>
      </w:r>
      <w:proofErr w:type="spellEnd"/>
      <w:r>
        <w:rPr>
          <w:rFonts w:ascii="Verdana" w:eastAsia="Verdana" w:hAnsi="Verdana" w:cs="Verdana"/>
          <w:i/>
          <w:iCs/>
          <w:sz w:val="20"/>
          <w:szCs w:val="20"/>
        </w:rPr>
        <w:t xml:space="preserve"> </w:t>
      </w:r>
      <w:proofErr w:type="spellStart"/>
      <w:r>
        <w:rPr>
          <w:rFonts w:ascii="Verdana" w:eastAsia="Verdana" w:hAnsi="Verdana" w:cs="Verdana"/>
          <w:i/>
          <w:iCs/>
          <w:sz w:val="20"/>
          <w:szCs w:val="20"/>
        </w:rPr>
        <w:t>Your</w:t>
      </w:r>
      <w:proofErr w:type="spellEnd"/>
      <w:r>
        <w:rPr>
          <w:rFonts w:ascii="Verdana" w:eastAsia="Verdana" w:hAnsi="Verdana" w:cs="Verdana"/>
          <w:i/>
          <w:iCs/>
          <w:sz w:val="20"/>
          <w:szCs w:val="20"/>
        </w:rPr>
        <w:t xml:space="preserve"> Trip, función lanzada en marzo de 2026, no pueden aislarse en los datos de reserva.</w:t>
      </w:r>
      <w:r>
        <w:rPr>
          <w:rFonts w:ascii="Verdana" w:eastAsia="Verdana" w:hAnsi="Verdana" w:cs="Verdana"/>
          <w:b/>
          <w:bCs/>
          <w:sz w:val="20"/>
          <w:szCs w:val="20"/>
        </w:rPr>
        <w:br/>
      </w:r>
      <w:r>
        <w:rPr>
          <w:rFonts w:ascii="Verdana" w:eastAsia="Verdana" w:hAnsi="Verdana" w:cs="Verdana"/>
          <w:b/>
          <w:bCs/>
          <w:sz w:val="20"/>
          <w:szCs w:val="20"/>
        </w:rPr>
        <w:br/>
        <w:t>Acerca de Kiwi.com</w:t>
      </w:r>
    </w:p>
    <w:p w14:paraId="33ADDDD4" w14:textId="77777777" w:rsidR="005B311F" w:rsidRDefault="00000000">
      <w:pPr>
        <w:jc w:val="both"/>
        <w:rPr>
          <w:rFonts w:ascii="Verdana" w:eastAsia="Verdana" w:hAnsi="Verdana" w:cs="Verdana"/>
          <w:sz w:val="20"/>
          <w:szCs w:val="20"/>
        </w:rPr>
      </w:pPr>
      <w:r>
        <w:rPr>
          <w:rFonts w:ascii="Verdana" w:eastAsia="Verdana" w:hAnsi="Verdana" w:cs="Verdana"/>
          <w:sz w:val="20"/>
          <w:szCs w:val="20"/>
        </w:rPr>
        <w:t>Kiwi.com es una empresa líder en tecnología de viajes y una agencia de viajes online que ayuda a los viajeros a encontrar las mejores ofertas de vuelos entre millones de rutas. Ofrece una combinación única de tarifas económicas y tranquilidad gracias a la Garantía Kiwi.com, que proporciona asistencia y protección cuando cambian los planes de viaje.</w:t>
      </w:r>
    </w:p>
    <w:p w14:paraId="3023E9E1" w14:textId="77777777" w:rsidR="005B311F" w:rsidRDefault="005B311F">
      <w:pPr>
        <w:spacing w:line="360" w:lineRule="auto"/>
        <w:jc w:val="both"/>
        <w:rPr>
          <w:rFonts w:ascii="Verdana" w:eastAsia="Verdana" w:hAnsi="Verdana" w:cs="Verdana"/>
          <w:sz w:val="20"/>
          <w:szCs w:val="20"/>
        </w:rPr>
      </w:pPr>
    </w:p>
    <w:p w14:paraId="6CD02ABC" w14:textId="77777777" w:rsidR="005B311F" w:rsidRDefault="00000000">
      <w:pPr>
        <w:jc w:val="both"/>
        <w:rPr>
          <w:rFonts w:ascii="Verdana" w:eastAsia="Verdana" w:hAnsi="Verdana" w:cs="Verdana"/>
          <w:b/>
          <w:bCs/>
          <w:sz w:val="20"/>
          <w:szCs w:val="20"/>
        </w:rPr>
      </w:pPr>
      <w:r>
        <w:rPr>
          <w:rFonts w:ascii="Verdana" w:eastAsia="Verdana" w:hAnsi="Verdana" w:cs="Verdana"/>
          <w:b/>
          <w:bCs/>
          <w:sz w:val="20"/>
          <w:szCs w:val="20"/>
        </w:rPr>
        <w:t>Contacto de prensa:</w:t>
      </w:r>
    </w:p>
    <w:p w14:paraId="090471E0" w14:textId="77777777" w:rsidR="005B311F" w:rsidRDefault="00000000">
      <w:pPr>
        <w:jc w:val="both"/>
        <w:rPr>
          <w:rFonts w:ascii="Verdana" w:eastAsia="Verdana" w:hAnsi="Verdana" w:cs="Verdana"/>
          <w:sz w:val="20"/>
          <w:szCs w:val="20"/>
        </w:rPr>
      </w:pPr>
      <w:r>
        <w:rPr>
          <w:rFonts w:ascii="Verdana" w:eastAsia="Verdana" w:hAnsi="Verdana" w:cs="Verdana"/>
          <w:sz w:val="20"/>
          <w:szCs w:val="20"/>
        </w:rPr>
        <w:lastRenderedPageBreak/>
        <w:t>SERGAT, agencia de comunicación</w:t>
      </w:r>
    </w:p>
    <w:p w14:paraId="0A91505B" w14:textId="77777777" w:rsidR="005B311F" w:rsidRDefault="00000000">
      <w:pPr>
        <w:jc w:val="both"/>
        <w:rPr>
          <w:rFonts w:ascii="Verdana" w:eastAsia="Verdana" w:hAnsi="Verdana" w:cs="Verdana"/>
          <w:color w:val="006699"/>
          <w:sz w:val="20"/>
          <w:szCs w:val="20"/>
        </w:rPr>
      </w:pPr>
      <w:hyperlink r:id="rId7">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03C46C75" w14:textId="77777777" w:rsidR="005B311F" w:rsidRDefault="005B311F">
      <w:pPr>
        <w:spacing w:line="331" w:lineRule="auto"/>
        <w:jc w:val="both"/>
        <w:rPr>
          <w:rFonts w:ascii="Verdana" w:eastAsia="Verdana" w:hAnsi="Verdana" w:cs="Verdana"/>
          <w:sz w:val="20"/>
          <w:szCs w:val="20"/>
        </w:rPr>
      </w:pPr>
    </w:p>
    <w:p w14:paraId="21817D3A" w14:textId="77777777" w:rsidR="005B311F" w:rsidRDefault="005B311F">
      <w:pPr>
        <w:spacing w:line="331" w:lineRule="auto"/>
        <w:jc w:val="both"/>
        <w:rPr>
          <w:rFonts w:ascii="Verdana" w:eastAsia="Verdana" w:hAnsi="Verdana" w:cs="Verdana"/>
          <w:b/>
          <w:bCs/>
          <w:sz w:val="20"/>
          <w:szCs w:val="20"/>
        </w:rPr>
      </w:pPr>
    </w:p>
    <w:sectPr w:rsidR="005B311F">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A505E3" w14:textId="77777777" w:rsidR="005540FC" w:rsidRDefault="005540FC">
      <w:pPr>
        <w:spacing w:line="240" w:lineRule="auto"/>
      </w:pPr>
      <w:r>
        <w:separator/>
      </w:r>
    </w:p>
  </w:endnote>
  <w:endnote w:type="continuationSeparator" w:id="0">
    <w:p w14:paraId="298B5B88" w14:textId="77777777" w:rsidR="005540FC" w:rsidRDefault="005540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215EE7A-E066-3E46-8DA3-8B4974BD288C}"/>
    <w:embedItalic r:id="rId2" w:fontKey="{AF85873B-0A41-7344-A6B3-26A32E171AF0}"/>
  </w:font>
  <w:font w:name="Times New Roman">
    <w:panose1 w:val="02020603050405020304"/>
    <w:charset w:val="00"/>
    <w:family w:val="roman"/>
    <w:pitch w:val="variable"/>
    <w:sig w:usb0="E0002EFF" w:usb1="C000785B" w:usb2="00000009" w:usb3="00000000" w:csb0="000001FF" w:csb1="00000000"/>
    <w:embedRegular r:id="rId3" w:fontKey="{D2CABE7C-B0F2-4947-83E7-FE8918D4770B}"/>
    <w:embedBold r:id="rId4" w:fontKey="{433AB111-8109-5543-9DD6-118F7BCE08E4}"/>
    <w:embedItalic r:id="rId5" w:fontKey="{3F3A784E-100B-D048-A06A-5E41960782CC}"/>
  </w:font>
  <w:font w:name="Verdana">
    <w:panose1 w:val="020B0604030504040204"/>
    <w:charset w:val="00"/>
    <w:family w:val="swiss"/>
    <w:pitch w:val="variable"/>
    <w:sig w:usb0="A10006FF" w:usb1="4000205B" w:usb2="00000010" w:usb3="00000000" w:csb0="0000019F" w:csb1="00000000"/>
    <w:embedRegular r:id="rId6" w:fontKey="{FEEE73CD-2531-BF4F-9B2E-7C0D32588AE6}"/>
    <w:embedBold r:id="rId7" w:fontKey="{995B4DDA-CFD6-0A40-83AF-F2EE58D4DE15}"/>
    <w:embedItalic r:id="rId8" w:fontKey="{F98E5CFF-F1E3-604D-A96E-70986829DB4F}"/>
  </w:font>
  <w:font w:name="Calibri">
    <w:panose1 w:val="020F0502020204030204"/>
    <w:charset w:val="00"/>
    <w:family w:val="swiss"/>
    <w:pitch w:val="variable"/>
    <w:sig w:usb0="E0002AFF" w:usb1="C000247B" w:usb2="00000009" w:usb3="00000000" w:csb0="000001FF" w:csb1="00000000"/>
    <w:embedRegular r:id="rId9" w:fontKey="{758A09EB-E6C7-DD43-B189-1156FA2E50A4}"/>
  </w:font>
  <w:font w:name="Cambria">
    <w:panose1 w:val="02040503050406030204"/>
    <w:charset w:val="00"/>
    <w:family w:val="roman"/>
    <w:pitch w:val="variable"/>
    <w:sig w:usb0="E00002FF" w:usb1="400004FF" w:usb2="00000000" w:usb3="00000000" w:csb0="0000019F" w:csb1="00000000"/>
    <w:embedRegular r:id="rId10" w:fontKey="{146B3279-280F-7147-9FA2-8C043692C48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BAB9C3" w14:textId="77777777" w:rsidR="005540FC" w:rsidRDefault="005540FC">
      <w:pPr>
        <w:spacing w:line="240" w:lineRule="auto"/>
      </w:pPr>
      <w:r>
        <w:separator/>
      </w:r>
    </w:p>
  </w:footnote>
  <w:footnote w:type="continuationSeparator" w:id="0">
    <w:p w14:paraId="5A4878FE" w14:textId="77777777" w:rsidR="005540FC" w:rsidRDefault="005540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C2C524" w14:textId="77777777" w:rsidR="005B311F" w:rsidRDefault="00000000">
    <w:r>
      <w:rPr>
        <w:noProof/>
      </w:rPr>
      <w:drawing>
        <wp:anchor distT="0" distB="0" distL="114300" distR="114300" simplePos="0" relativeHeight="251658240" behindDoc="0" locked="0" layoutInCell="1" hidden="0" allowOverlap="1" wp14:anchorId="3B1EEF72" wp14:editId="2CD4C88C">
          <wp:simplePos x="0" y="0"/>
          <wp:positionH relativeFrom="column">
            <wp:posOffset>69</wp:posOffset>
          </wp:positionH>
          <wp:positionV relativeFrom="paragraph">
            <wp:posOffset>180975</wp:posOffset>
          </wp:positionV>
          <wp:extent cx="1381125" cy="681990"/>
          <wp:effectExtent l="0" t="0" r="0" b="0"/>
          <wp:wrapSquare wrapText="bothSides" distT="0" distB="0" distL="114300" distR="114300"/>
          <wp:docPr id="11"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1"/>
                  <a:srcRect t="116" b="114"/>
                  <a:stretch>
                    <a:fillRect/>
                  </a:stretch>
                </pic:blipFill>
                <pic:spPr>
                  <a:xfrm>
                    <a:off x="0" y="0"/>
                    <a:ext cx="1381125" cy="681990"/>
                  </a:xfrm>
                  <a:prstGeom prst="rect">
                    <a:avLst/>
                  </a:prstGeom>
                  <a:ln/>
                </pic:spPr>
              </pic:pic>
            </a:graphicData>
          </a:graphic>
        </wp:anchor>
      </w:drawing>
    </w:r>
  </w:p>
  <w:p w14:paraId="4711BDA2" w14:textId="77777777" w:rsidR="005B311F" w:rsidRDefault="00000000">
    <w:r>
      <w:rPr>
        <w:noProof/>
      </w:rPr>
      <w:drawing>
        <wp:anchor distT="114300" distB="114300" distL="114300" distR="114300" simplePos="0" relativeHeight="251659264" behindDoc="0" locked="0" layoutInCell="1" hidden="0" allowOverlap="1" wp14:anchorId="7A1E7E6B" wp14:editId="7EE4CDB9">
          <wp:simplePos x="0" y="0"/>
          <wp:positionH relativeFrom="column">
            <wp:posOffset>4334932</wp:posOffset>
          </wp:positionH>
          <wp:positionV relativeFrom="paragraph">
            <wp:posOffset>153965</wp:posOffset>
          </wp:positionV>
          <wp:extent cx="1381125" cy="410884"/>
          <wp:effectExtent l="0" t="0" r="0" b="0"/>
          <wp:wrapSquare wrapText="bothSides" distT="114300" distB="11430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381125" cy="410884"/>
                  </a:xfrm>
                  <a:prstGeom prst="rect">
                    <a:avLst/>
                  </a:prstGeom>
                  <a:ln/>
                </pic:spPr>
              </pic:pic>
            </a:graphicData>
          </a:graphic>
        </wp:anchor>
      </w:drawing>
    </w:r>
  </w:p>
  <w:p w14:paraId="0EA4DB9A" w14:textId="77777777" w:rsidR="005B311F" w:rsidRDefault="005B311F"/>
  <w:p w14:paraId="65895E10" w14:textId="77777777" w:rsidR="005B311F" w:rsidRDefault="005B311F"/>
  <w:p w14:paraId="61EA71B7" w14:textId="77777777" w:rsidR="005B311F" w:rsidRDefault="005B311F"/>
  <w:p w14:paraId="7A195484" w14:textId="77777777" w:rsidR="005B311F" w:rsidRDefault="005B311F"/>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11F"/>
    <w:rsid w:val="005540FC"/>
    <w:rsid w:val="005B311F"/>
    <w:rsid w:val="00863A61"/>
    <w:rsid w:val="00F778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69597A9"/>
  <w15:docId w15:val="{56751DBC-D9C2-984D-BC18-AF379B4F3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D63203"/>
    <w:pPr>
      <w:tabs>
        <w:tab w:val="center" w:pos="4513"/>
        <w:tab w:val="right" w:pos="9026"/>
      </w:tabs>
      <w:spacing w:line="240" w:lineRule="auto"/>
    </w:pPr>
  </w:style>
  <w:style w:type="character" w:customStyle="1" w:styleId="EncabezadoCar">
    <w:name w:val="Encabezado Car"/>
    <w:basedOn w:val="Fuentedeprrafopredeter"/>
    <w:link w:val="Encabezado"/>
    <w:uiPriority w:val="99"/>
    <w:rsid w:val="00D63203"/>
  </w:style>
  <w:style w:type="paragraph" w:styleId="Piedepgina">
    <w:name w:val="footer"/>
    <w:basedOn w:val="Normal"/>
    <w:link w:val="PiedepginaCar"/>
    <w:uiPriority w:val="99"/>
    <w:unhideWhenUsed/>
    <w:rsid w:val="00D63203"/>
    <w:pPr>
      <w:tabs>
        <w:tab w:val="center" w:pos="4513"/>
        <w:tab w:val="right" w:pos="9026"/>
      </w:tabs>
      <w:spacing w:line="240" w:lineRule="auto"/>
    </w:pPr>
  </w:style>
  <w:style w:type="character" w:customStyle="1" w:styleId="PiedepginaCar">
    <w:name w:val="Pie de página Car"/>
    <w:basedOn w:val="Fuentedeprrafopredeter"/>
    <w:link w:val="Piedepgina"/>
    <w:uiPriority w:val="99"/>
    <w:rsid w:val="00D63203"/>
  </w:style>
  <w:style w:type="paragraph" w:customStyle="1" w:styleId="ds-markdown-paragraph">
    <w:name w:val="ds-markdown-paragraph"/>
    <w:basedOn w:val="Normal"/>
    <w:rsid w:val="0092422E"/>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Fuerte">
    <w:name w:val="Strong"/>
    <w:basedOn w:val="Fuentedeprrafopredeter"/>
    <w:uiPriority w:val="22"/>
    <w:qFormat/>
    <w:rsid w:val="0092422E"/>
    <w:rPr>
      <w:b/>
      <w:bCs/>
    </w:rPr>
  </w:style>
  <w:style w:type="character" w:styleId="nfasis">
    <w:name w:val="Emphasis"/>
    <w:basedOn w:val="Fuentedeprrafopredeter"/>
    <w:uiPriority w:val="20"/>
    <w:qFormat/>
    <w:rsid w:val="0092422E"/>
    <w:rPr>
      <w:i/>
      <w:iCs/>
    </w:rPr>
  </w:style>
  <w:style w:type="character" w:styleId="Hipervnculo">
    <w:name w:val="Hyperlink"/>
    <w:basedOn w:val="Fuentedeprrafopredeter"/>
    <w:uiPriority w:val="99"/>
    <w:unhideWhenUsed/>
    <w:rsid w:val="0092422E"/>
    <w:rPr>
      <w:color w:val="0000FF"/>
      <w:u w:val="single"/>
    </w:rPr>
  </w:style>
  <w:style w:type="character" w:styleId="Mencinsinresolver">
    <w:name w:val="Unresolved Mention"/>
    <w:basedOn w:val="Fuentedeprrafopredeter"/>
    <w:uiPriority w:val="99"/>
    <w:semiHidden/>
    <w:unhideWhenUsed/>
    <w:rsid w:val="005459FA"/>
    <w:rPr>
      <w:color w:val="605E5C"/>
      <w:shd w:val="clear" w:color="auto" w:fill="E1DFDD"/>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nsa@serga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wBnerSc3myMvawyTkhJaIycegw==">CgMxLjA4AHIhMVVIdFpHYmZLOVE1akx2ZkZWRGNDUzd6UUhheEk1UTI3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3690</Characters>
  <Application>Microsoft Office Word</Application>
  <DocSecurity>0</DocSecurity>
  <Lines>65</Lines>
  <Paragraphs>17</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2026-09-29T15:43:00Z</dcterms:created>
  <dcterms:modified xsi:type="dcterms:W3CDTF">2026-10-01T11:42:00Z</dcterms:modified>
  <cp:category/>
</cp:coreProperties>
</file>