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EDACA" w14:textId="77777777" w:rsidR="00724F31" w:rsidRDefault="00000000">
      <w:pPr>
        <w:spacing w:before="240" w:after="240" w:line="360" w:lineRule="auto"/>
        <w:jc w:val="center"/>
        <w:rPr>
          <w:rFonts w:ascii="Verdana" w:eastAsia="Verdana" w:hAnsi="Verdana" w:cs="Verdana"/>
          <w:b/>
          <w:bCs/>
        </w:rPr>
      </w:pPr>
      <w:r>
        <w:rPr>
          <w:rFonts w:ascii="Verdana" w:eastAsia="Verdana" w:hAnsi="Verdana" w:cs="Verdana"/>
          <w:b/>
          <w:bCs/>
        </w:rPr>
        <w:t>Los aeropuertos españoles más allá de Madrid y Barcelona disparan sus salidas un 281 % y se consolidan como motores del crecimiento</w:t>
      </w:r>
    </w:p>
    <w:p w14:paraId="15EC5725" w14:textId="77777777" w:rsidR="00724F31" w:rsidRDefault="00000000">
      <w:pPr>
        <w:spacing w:line="360" w:lineRule="auto"/>
        <w:jc w:val="center"/>
        <w:rPr>
          <w:rFonts w:ascii="Verdana" w:eastAsia="Verdana" w:hAnsi="Verdana" w:cs="Verdana"/>
          <w:i/>
          <w:iCs/>
          <w:sz w:val="20"/>
          <w:szCs w:val="20"/>
        </w:rPr>
      </w:pPr>
      <w:r>
        <w:rPr>
          <w:rFonts w:ascii="Verdana" w:eastAsia="Verdana" w:hAnsi="Verdana" w:cs="Verdana"/>
          <w:i/>
          <w:iCs/>
          <w:sz w:val="20"/>
          <w:szCs w:val="20"/>
        </w:rPr>
        <w:t>Vitoria, Ibiza, Mahón, Bilbao y Palma lideraron un verano y un comienzo del otoño récord, aparte de los dos grandes ‘</w:t>
      </w:r>
      <w:proofErr w:type="spellStart"/>
      <w:r>
        <w:rPr>
          <w:rFonts w:ascii="Verdana" w:eastAsia="Verdana" w:hAnsi="Verdana" w:cs="Verdana"/>
          <w:i/>
          <w:iCs/>
          <w:sz w:val="20"/>
          <w:szCs w:val="20"/>
        </w:rPr>
        <w:t>hubs</w:t>
      </w:r>
      <w:proofErr w:type="spellEnd"/>
      <w:r>
        <w:rPr>
          <w:rFonts w:ascii="Verdana" w:eastAsia="Verdana" w:hAnsi="Verdana" w:cs="Verdana"/>
          <w:i/>
          <w:iCs/>
          <w:sz w:val="20"/>
          <w:szCs w:val="20"/>
        </w:rPr>
        <w:t>’, creciendo muy por encima de la media, mientras Barajas y El Prat concentran casi la mitad de las salidas</w:t>
      </w:r>
    </w:p>
    <w:p w14:paraId="26D7DF2A"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b/>
          <w:bCs/>
          <w:sz w:val="20"/>
          <w:szCs w:val="20"/>
        </w:rPr>
        <w:br/>
        <w:t>Barcelona, 14 de octubre de 2026:</w:t>
      </w:r>
      <w:r>
        <w:rPr>
          <w:rFonts w:ascii="Verdana" w:eastAsia="Verdana" w:hAnsi="Verdana" w:cs="Verdana"/>
          <w:sz w:val="20"/>
          <w:szCs w:val="20"/>
        </w:rPr>
        <w:t xml:space="preserve"> La temporada alta viajera en 2026 y el principio del otoño están dejando un mapa de salidas mucho más repartido en España. Según los datos de reservas finalizadas de</w:t>
      </w:r>
      <w:hyperlink r:id="rId7">
        <w:r>
          <w:rPr>
            <w:rFonts w:ascii="Verdana" w:eastAsia="Verdana" w:hAnsi="Verdana" w:cs="Verdana"/>
            <w:sz w:val="20"/>
            <w:szCs w:val="20"/>
          </w:rPr>
          <w:t xml:space="preserve"> </w:t>
        </w:r>
      </w:hyperlink>
      <w:hyperlink r:id="rId8">
        <w:r>
          <w:rPr>
            <w:rFonts w:ascii="Verdana" w:eastAsia="Verdana" w:hAnsi="Verdana" w:cs="Verdana"/>
            <w:color w:val="1155CC"/>
            <w:sz w:val="20"/>
            <w:szCs w:val="20"/>
            <w:u w:val="single"/>
          </w:rPr>
          <w:t>Kiwi.com</w:t>
        </w:r>
      </w:hyperlink>
      <w:r>
        <w:rPr>
          <w:rFonts w:ascii="Verdana" w:eastAsia="Verdana" w:hAnsi="Verdana" w:cs="Verdana"/>
          <w:sz w:val="20"/>
          <w:szCs w:val="20"/>
        </w:rPr>
        <w:t>, empresa líder en tecnología de viajes, los aeropuertos españoles más allá de Madrid y Barcelona han sido los grandes protagonistas del crecimiento: Vitoria lideró el aumento con un +281,0 %, seguida de Ibiza (+251,7 %), Mahón (+197,0 %), Asturias (+160,2 %), Palma (+155,4 %) y Bilbao (+152,6 %), todos ellos muy por encima de la media del conjunto de aeropuertos españoles.</w:t>
      </w:r>
    </w:p>
    <w:p w14:paraId="429914FE"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 xml:space="preserve">En total, el número de pasajeros de nacionalidad española que </w:t>
      </w:r>
      <w:proofErr w:type="gramStart"/>
      <w:r>
        <w:rPr>
          <w:rFonts w:ascii="Verdana" w:eastAsia="Verdana" w:hAnsi="Verdana" w:cs="Verdana"/>
          <w:sz w:val="20"/>
          <w:szCs w:val="20"/>
        </w:rPr>
        <w:t>salieron desde</w:t>
      </w:r>
      <w:proofErr w:type="gramEnd"/>
      <w:r>
        <w:rPr>
          <w:rFonts w:ascii="Verdana" w:eastAsia="Verdana" w:hAnsi="Verdana" w:cs="Verdana"/>
          <w:sz w:val="20"/>
          <w:szCs w:val="20"/>
        </w:rPr>
        <w:t xml:space="preserve"> aeropuertos españoles entre el 1 de junio y el 31 de agosto se duplicó respecto al mismo periodo de 2025, con un incremento del 108,7 %. Las reservas crecieron aún más, un 119,5 %. Y ese dinamismo se extendió prácticamente a todos los aeropuertos del país, con especial intensidad en aquellos que operan fuera de los dos grandes </w:t>
      </w:r>
      <w:proofErr w:type="spellStart"/>
      <w:r>
        <w:rPr>
          <w:rFonts w:ascii="Verdana" w:eastAsia="Verdana" w:hAnsi="Verdana" w:cs="Verdana"/>
          <w:i/>
          <w:iCs/>
          <w:sz w:val="20"/>
          <w:szCs w:val="20"/>
        </w:rPr>
        <w:t>hubs</w:t>
      </w:r>
      <w:proofErr w:type="spellEnd"/>
      <w:r>
        <w:rPr>
          <w:rFonts w:ascii="Verdana" w:eastAsia="Verdana" w:hAnsi="Verdana" w:cs="Verdana"/>
          <w:sz w:val="20"/>
          <w:szCs w:val="20"/>
        </w:rPr>
        <w:t>.</w:t>
      </w:r>
    </w:p>
    <w:p w14:paraId="05C719BC"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El arranque del otoño confirma la tendencia. Entre el 1 de septiembre y el 12 de octubre —ventana comparable en ambos años—, los pasajeros aumentaron un 40,6 % y las reservas lo hicieron en la misma proporción. Los mayores avances relativos volvieron a corresponder a aeropuertos más allá de Madrid y Barcelona: San Sebastián (+247,9 %), Asturias (+183,6 %), Granada (+167,2 %), Bilbao (+121,7 %) y Almería (+106,5 %).</w:t>
      </w:r>
    </w:p>
    <w:p w14:paraId="42330362" w14:textId="77777777" w:rsidR="00724F31" w:rsidRDefault="00000000">
      <w:pPr>
        <w:spacing w:before="240" w:after="240" w:line="360" w:lineRule="auto"/>
        <w:jc w:val="both"/>
        <w:rPr>
          <w:rFonts w:ascii="Verdana" w:eastAsia="Verdana" w:hAnsi="Verdana" w:cs="Verdana"/>
          <w:b/>
          <w:bCs/>
          <w:sz w:val="20"/>
          <w:szCs w:val="20"/>
        </w:rPr>
      </w:pPr>
      <w:r>
        <w:rPr>
          <w:rFonts w:ascii="Verdana" w:eastAsia="Verdana" w:hAnsi="Verdana" w:cs="Verdana"/>
          <w:b/>
          <w:bCs/>
          <w:sz w:val="20"/>
          <w:szCs w:val="20"/>
        </w:rPr>
        <w:t>Madrid y Barcelona mantienen el liderazgo, pero pierden protagonismo relativo</w:t>
      </w:r>
    </w:p>
    <w:p w14:paraId="3A15A862"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Madrid-Barajas y Barcelona-El Prat siguen siendo las principales puertas de salida del viajero español. Madrid concentró el 25,4 % de los pasajeros en verano (+105,1 % en pasajeros, +111,2 % en reservas) y elevó su cuota hasta el 27,1 % en el arranque del otoño (+54,4 % en pasajeros, +53,0 % en reservas). Barcelona ocupó la segunda posición en ambos periodos: el 18,9 % de los pasajeros veraniegos (+87,6 % en pasajeros, +96,9 % en reservas) y el 16,5 % en otoño (+28,5 % en pasajeros, +32,5 % en reservas).</w:t>
      </w:r>
    </w:p>
    <w:p w14:paraId="6BE99303"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lastRenderedPageBreak/>
        <w:t xml:space="preserve">Entre ambos </w:t>
      </w:r>
      <w:proofErr w:type="spellStart"/>
      <w:r>
        <w:rPr>
          <w:rFonts w:ascii="Verdana" w:eastAsia="Verdana" w:hAnsi="Verdana" w:cs="Verdana"/>
          <w:i/>
          <w:iCs/>
          <w:sz w:val="20"/>
          <w:szCs w:val="20"/>
        </w:rPr>
        <w:t>hubs</w:t>
      </w:r>
      <w:proofErr w:type="spellEnd"/>
      <w:r>
        <w:rPr>
          <w:rFonts w:ascii="Verdana" w:eastAsia="Verdana" w:hAnsi="Verdana" w:cs="Verdana"/>
          <w:sz w:val="20"/>
          <w:szCs w:val="20"/>
        </w:rPr>
        <w:t xml:space="preserve"> sumaron aproximadamente el 44 % de los pasajeros veraniegos y algo más del 43 % en el arranque del otoño. Es decir, más de la mitad de las salidas se produjeron desde otros aeropuertos, y son precisamente estos los que están creciendo a un ritmo más acelerado.</w:t>
      </w:r>
    </w:p>
    <w:p w14:paraId="7AB9CB01"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"Madrid y Barcelona siguen siendo las grandes puertas de salida del viajero español, pero lo más relevante de estos datos es que el crecimiento no se concentra en ellas", señala Daniela Chovancová, PR Manager de</w:t>
      </w:r>
      <w:hyperlink r:id="rId9">
        <w:r>
          <w:rPr>
            <w:rFonts w:ascii="Verdana" w:eastAsia="Verdana" w:hAnsi="Verdana" w:cs="Verdana"/>
            <w:sz w:val="20"/>
            <w:szCs w:val="20"/>
          </w:rPr>
          <w:t xml:space="preserve"> </w:t>
        </w:r>
      </w:hyperlink>
      <w:hyperlink r:id="rId10">
        <w:r>
          <w:rPr>
            <w:rFonts w:ascii="Verdana" w:eastAsia="Verdana" w:hAnsi="Verdana" w:cs="Verdana"/>
            <w:color w:val="1155CC"/>
            <w:sz w:val="20"/>
            <w:szCs w:val="20"/>
            <w:u w:val="single"/>
          </w:rPr>
          <w:t>Kiwi.com</w:t>
        </w:r>
      </w:hyperlink>
      <w:r>
        <w:rPr>
          <w:rFonts w:ascii="Verdana" w:eastAsia="Verdana" w:hAnsi="Verdana" w:cs="Verdana"/>
          <w:sz w:val="20"/>
          <w:szCs w:val="20"/>
        </w:rPr>
        <w:t>. "Aeropuertos como Vitoria, Ibiza, Mahón, Bilbao o Palma han crecido a un ritmo muy superior, lo que indica que la demanda se está distribuyendo y que cada vez más viajeros encuentran conexiones útiles desde su aeropuerto más cercano".</w:t>
      </w:r>
    </w:p>
    <w:p w14:paraId="44ADDB60" w14:textId="77777777" w:rsidR="00724F31" w:rsidRDefault="00000000">
      <w:pPr>
        <w:spacing w:before="240" w:after="240" w:line="360" w:lineRule="auto"/>
        <w:jc w:val="both"/>
        <w:rPr>
          <w:rFonts w:ascii="Verdana" w:eastAsia="Verdana" w:hAnsi="Verdana" w:cs="Verdana"/>
          <w:b/>
          <w:bCs/>
          <w:sz w:val="20"/>
          <w:szCs w:val="20"/>
        </w:rPr>
      </w:pPr>
      <w:r>
        <w:rPr>
          <w:rFonts w:ascii="Verdana" w:eastAsia="Verdana" w:hAnsi="Verdana" w:cs="Verdana"/>
          <w:b/>
          <w:bCs/>
          <w:sz w:val="20"/>
          <w:szCs w:val="20"/>
        </w:rPr>
        <w:t>Los aeropuertos que más crecen, uno a uno</w:t>
      </w:r>
    </w:p>
    <w:p w14:paraId="5CC5CF02"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En el verano, los incrementos más espectaculares se registraron en aeropuertos que tradicionalmente tenían un volumen más modesto de salidas internacionales. Vitoria multiplicó por casi cuatro sus cifras con un +281,0 %. Ibiza hizo lo propio con un +251,7 %. Mahón creció un +197,0 % y Asturias un +160,2 %. Palma (+155,4 %) y Bilbao (+152,6 %) completaron el grupo de aeropuertos que más que duplicaron sus salidas. También destacaron Sevilla (+130,4 %), Alicante (+112,3 %), Valencia (+113,8 %) y Málaga (+99,1 %).</w:t>
      </w:r>
    </w:p>
    <w:p w14:paraId="2BA37777"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En términos absolutos, tras Madrid y Barcelona, los aeropuertos con mayor volumen de pasajeros en verano fueron Málaga (16.661), Valencia (14.590), Alicante (12.154), Sevilla (11.665) y Bilbao (10.042), seguidos a distancia por Palma (4.631), Santiago (2.922), Ibiza (2.870) y Asturias (2.311).</w:t>
      </w:r>
    </w:p>
    <w:p w14:paraId="392ACDBF"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En el arranque del otoño, el liderazgo del crecimiento pasó a San Sebastián (+247,9 %), Asturias (+183,6 %), Granada (+167,2 %), Bilbao (+121,7 %) y Almería (+106,5 %). También registraron incrementos notables aeropuertos como Vigo (+78,4 %), La Coruña (+68,0 %), Ibiza (+67,0 %) y Tenerife Norte (+46,6 %).</w:t>
      </w:r>
    </w:p>
    <w:p w14:paraId="3A23F719"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No todos los aeropuertos siguieron la misma senda. Unos pocos registraron descensos en la ventana otoñal: Santiago de Compostela (-18,5 %), Fuerteventura (-11,2 %) y Tenerife Sur (-9,5 %), este último tras un verano prácticamente plano (+19,9 %).</w:t>
      </w:r>
    </w:p>
    <w:p w14:paraId="10CB4457" w14:textId="77777777" w:rsidR="00724F31"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 xml:space="preserve">Esta diversificación también se refleja en el tipo de viaje. Mientras los grandes </w:t>
      </w:r>
      <w:proofErr w:type="spellStart"/>
      <w:r>
        <w:rPr>
          <w:rFonts w:ascii="Verdana" w:eastAsia="Verdana" w:hAnsi="Verdana" w:cs="Verdana"/>
          <w:i/>
          <w:iCs/>
          <w:sz w:val="20"/>
          <w:szCs w:val="20"/>
        </w:rPr>
        <w:t>hubs</w:t>
      </w:r>
      <w:proofErr w:type="spellEnd"/>
      <w:r>
        <w:rPr>
          <w:rFonts w:ascii="Verdana" w:eastAsia="Verdana" w:hAnsi="Verdana" w:cs="Verdana"/>
          <w:sz w:val="20"/>
          <w:szCs w:val="20"/>
        </w:rPr>
        <w:t xml:space="preserve"> canalizan una parte importante de las conexiones de larga distancia y los itinerarios </w:t>
      </w:r>
      <w:r>
        <w:rPr>
          <w:rFonts w:ascii="Verdana" w:eastAsia="Verdana" w:hAnsi="Verdana" w:cs="Verdana"/>
          <w:sz w:val="20"/>
          <w:szCs w:val="20"/>
        </w:rPr>
        <w:lastRenderedPageBreak/>
        <w:t>multidestino, los aeropuertos más allá de Madrid y Barcelona concentran buena parte de las rutas vacacionales domésticas y las escapadas europeas, con Palma, Ibiza, Mahón, Roma, Budapest y Milán entre los destinos más solicitados.</w:t>
      </w:r>
    </w:p>
    <w:p w14:paraId="6109714E" w14:textId="77777777" w:rsidR="00724F31" w:rsidRDefault="00000000">
      <w:pPr>
        <w:pBdr>
          <w:top w:val="nil"/>
          <w:left w:val="nil"/>
          <w:bottom w:val="nil"/>
          <w:right w:val="nil"/>
          <w:between w:val="nil"/>
        </w:pBdr>
        <w:spacing w:line="360" w:lineRule="auto"/>
        <w:jc w:val="both"/>
        <w:rPr>
          <w:rFonts w:ascii="Verdana" w:eastAsia="Verdana" w:hAnsi="Verdana" w:cs="Verdana"/>
          <w:i/>
          <w:iCs/>
          <w:sz w:val="20"/>
          <w:szCs w:val="20"/>
        </w:rPr>
      </w:pPr>
      <w:r>
        <w:rPr>
          <w:rFonts w:ascii="Verdana" w:eastAsia="Verdana" w:hAnsi="Verdana" w:cs="Verdana"/>
          <w:i/>
          <w:iCs/>
          <w:sz w:val="20"/>
          <w:szCs w:val="20"/>
        </w:rPr>
        <w:t>*Datos analizados: reservas finalizadas realizadas en</w:t>
      </w:r>
      <w:hyperlink r:id="rId11">
        <w:r>
          <w:rPr>
            <w:rFonts w:ascii="Verdana" w:eastAsia="Verdana" w:hAnsi="Verdana" w:cs="Verdana"/>
            <w:i/>
            <w:iCs/>
            <w:sz w:val="20"/>
            <w:szCs w:val="20"/>
          </w:rPr>
          <w:t xml:space="preserve"> </w:t>
        </w:r>
      </w:hyperlink>
      <w:hyperlink r:id="rId12">
        <w:r>
          <w:rPr>
            <w:rFonts w:ascii="Verdana" w:eastAsia="Verdana" w:hAnsi="Verdana" w:cs="Verdana"/>
            <w:i/>
            <w:iCs/>
            <w:sz w:val="20"/>
            <w:szCs w:val="20"/>
          </w:rPr>
          <w:t>Kiwi.com</w:t>
        </w:r>
      </w:hyperlink>
      <w:r>
        <w:rPr>
          <w:rFonts w:ascii="Verdana" w:eastAsia="Verdana" w:hAnsi="Verdana" w:cs="Verdana"/>
          <w:i/>
          <w:iCs/>
          <w:sz w:val="20"/>
          <w:szCs w:val="20"/>
        </w:rPr>
        <w:t xml:space="preserve"> por clientes de nacionalidad española con salida desde aeropuertos españoles. Ventana de verano: 1 de junio–31 de agosto de 2026 frente al mismo periodo de 2025. Ventana de otoño: 1 de septiembre–12 de octubre en ambos años, con un corte de madurez comparable y no la temporada otoñal completa. </w:t>
      </w:r>
    </w:p>
    <w:p w14:paraId="424CA3EA" w14:textId="77777777" w:rsidR="00724F31" w:rsidRDefault="00724F31">
      <w:pPr>
        <w:spacing w:line="360" w:lineRule="auto"/>
        <w:jc w:val="both"/>
        <w:rPr>
          <w:rFonts w:ascii="Verdana" w:eastAsia="Verdana" w:hAnsi="Verdana" w:cs="Verdana"/>
          <w:i/>
          <w:iCs/>
          <w:sz w:val="20"/>
          <w:szCs w:val="20"/>
        </w:rPr>
      </w:pPr>
    </w:p>
    <w:p w14:paraId="1139150A" w14:textId="77777777" w:rsidR="00724F31" w:rsidRDefault="00000000">
      <w:pPr>
        <w:spacing w:line="360" w:lineRule="auto"/>
        <w:jc w:val="both"/>
      </w:pPr>
      <w:r>
        <w:rPr>
          <w:rFonts w:ascii="Verdana" w:eastAsia="Verdana" w:hAnsi="Verdana" w:cs="Verdana"/>
          <w:b/>
          <w:bCs/>
          <w:sz w:val="20"/>
          <w:szCs w:val="20"/>
        </w:rPr>
        <w:t>Acerca de Kiwi.com</w:t>
      </w:r>
    </w:p>
    <w:p w14:paraId="55E8C99E" w14:textId="77777777" w:rsidR="00724F31" w:rsidRDefault="00000000">
      <w:pPr>
        <w:jc w:val="both"/>
        <w:rPr>
          <w:rFonts w:ascii="Verdana" w:eastAsia="Verdana" w:hAnsi="Verdana" w:cs="Verdana"/>
          <w:sz w:val="20"/>
          <w:szCs w:val="20"/>
        </w:rPr>
      </w:pPr>
      <w:r>
        <w:rPr>
          <w:rFonts w:ascii="Verdana" w:eastAsia="Verdana" w:hAnsi="Verdana" w:cs="Verdana"/>
          <w:sz w:val="20"/>
          <w:szCs w:val="20"/>
        </w:rPr>
        <w:t>Kiwi.com es una empresa líder en tecnología de viajes y una agencia de viajes online que ayuda a los viajeros a encontrar las mejores ofertas de vuelos entre millones de rutas. Ofrece una combinación única de tarifas económicas y tranquilidad gracias a la Garantía Kiwi.com, que proporciona asistencia y protección cuando cambian los planes de viaje.</w:t>
      </w:r>
    </w:p>
    <w:p w14:paraId="5E8B99F3" w14:textId="77777777" w:rsidR="00724F31" w:rsidRDefault="00724F31">
      <w:pPr>
        <w:spacing w:line="360" w:lineRule="auto"/>
        <w:jc w:val="both"/>
        <w:rPr>
          <w:rFonts w:ascii="Verdana" w:eastAsia="Verdana" w:hAnsi="Verdana" w:cs="Verdana"/>
          <w:sz w:val="20"/>
          <w:szCs w:val="20"/>
        </w:rPr>
      </w:pPr>
    </w:p>
    <w:p w14:paraId="2C9DDA2B" w14:textId="77777777" w:rsidR="00724F31" w:rsidRDefault="00000000">
      <w:pPr>
        <w:jc w:val="both"/>
        <w:rPr>
          <w:rFonts w:ascii="Verdana" w:eastAsia="Verdana" w:hAnsi="Verdana" w:cs="Verdana"/>
          <w:b/>
          <w:bCs/>
          <w:sz w:val="20"/>
          <w:szCs w:val="20"/>
        </w:rPr>
      </w:pPr>
      <w:r>
        <w:rPr>
          <w:rFonts w:ascii="Verdana" w:eastAsia="Verdana" w:hAnsi="Verdana" w:cs="Verdana"/>
          <w:b/>
          <w:bCs/>
          <w:sz w:val="20"/>
          <w:szCs w:val="20"/>
        </w:rPr>
        <w:t>Contacto de prensa:</w:t>
      </w:r>
    </w:p>
    <w:p w14:paraId="3EC763C3" w14:textId="77777777" w:rsidR="00724F31" w:rsidRDefault="00000000">
      <w:pPr>
        <w:jc w:val="both"/>
        <w:rPr>
          <w:rFonts w:ascii="Verdana" w:eastAsia="Verdana" w:hAnsi="Verdana" w:cs="Verdana"/>
          <w:sz w:val="20"/>
          <w:szCs w:val="20"/>
        </w:rPr>
      </w:pPr>
      <w:r>
        <w:rPr>
          <w:rFonts w:ascii="Verdana" w:eastAsia="Verdana" w:hAnsi="Verdana" w:cs="Verdana"/>
          <w:sz w:val="20"/>
          <w:szCs w:val="20"/>
        </w:rPr>
        <w:t>SERGAT, agencia de comunicación</w:t>
      </w:r>
    </w:p>
    <w:p w14:paraId="024AF5E7" w14:textId="77777777" w:rsidR="00724F31" w:rsidRDefault="00000000">
      <w:pPr>
        <w:jc w:val="both"/>
        <w:rPr>
          <w:rFonts w:ascii="Verdana" w:eastAsia="Verdana" w:hAnsi="Verdana" w:cs="Verdana"/>
          <w:color w:val="006699"/>
          <w:sz w:val="20"/>
          <w:szCs w:val="20"/>
        </w:rPr>
      </w:pPr>
      <w:hyperlink r:id="rId13">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10C84C07" w14:textId="77777777" w:rsidR="00724F31" w:rsidRDefault="00724F31">
      <w:pPr>
        <w:spacing w:line="331" w:lineRule="auto"/>
        <w:jc w:val="both"/>
        <w:rPr>
          <w:rFonts w:ascii="Verdana" w:eastAsia="Verdana" w:hAnsi="Verdana" w:cs="Verdana"/>
          <w:sz w:val="20"/>
          <w:szCs w:val="20"/>
        </w:rPr>
      </w:pPr>
    </w:p>
    <w:p w14:paraId="6F19695B" w14:textId="77777777" w:rsidR="00724F31" w:rsidRDefault="00724F31">
      <w:pPr>
        <w:spacing w:line="331" w:lineRule="auto"/>
        <w:jc w:val="both"/>
        <w:rPr>
          <w:rFonts w:ascii="Verdana" w:eastAsia="Verdana" w:hAnsi="Verdana" w:cs="Verdana"/>
          <w:b/>
          <w:bCs/>
          <w:sz w:val="20"/>
          <w:szCs w:val="20"/>
        </w:rPr>
      </w:pPr>
    </w:p>
    <w:sectPr w:rsidR="00724F31">
      <w:head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3E96A6" w14:textId="77777777" w:rsidR="004D6BCB" w:rsidRDefault="004D6BCB">
      <w:pPr>
        <w:spacing w:line="240" w:lineRule="auto"/>
      </w:pPr>
      <w:r>
        <w:separator/>
      </w:r>
    </w:p>
  </w:endnote>
  <w:endnote w:type="continuationSeparator" w:id="0">
    <w:p w14:paraId="0994DA8D" w14:textId="77777777" w:rsidR="004D6BCB" w:rsidRDefault="004D6B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DA21BBF-5E3A-7641-B100-2A15A679CF0B}"/>
    <w:embedItalic r:id="rId2" w:fontKey="{E4F39BCF-77AE-4A48-ADB3-E5CA90CBEF88}"/>
  </w:font>
  <w:font w:name="Times New Roman">
    <w:panose1 w:val="02020603050405020304"/>
    <w:charset w:val="00"/>
    <w:family w:val="roman"/>
    <w:pitch w:val="variable"/>
    <w:sig w:usb0="E0002EFF" w:usb1="C000785B" w:usb2="00000009" w:usb3="00000000" w:csb0="000001FF" w:csb1="00000000"/>
    <w:embedRegular r:id="rId3" w:fontKey="{453A3274-32C3-8640-8DB2-43474588DF7B}"/>
    <w:embedBold r:id="rId4" w:fontKey="{12A3668C-94AA-7041-A4E6-EB301B203915}"/>
    <w:embedItalic r:id="rId5" w:fontKey="{3467C520-C19D-1846-9C5D-0ADE1083EFFA}"/>
  </w:font>
  <w:font w:name="Verdana">
    <w:panose1 w:val="020B0604030504040204"/>
    <w:charset w:val="00"/>
    <w:family w:val="swiss"/>
    <w:pitch w:val="variable"/>
    <w:sig w:usb0="A10006FF" w:usb1="4000205B" w:usb2="00000010" w:usb3="00000000" w:csb0="0000019F" w:csb1="00000000"/>
    <w:embedRegular r:id="rId6" w:fontKey="{16298547-E791-8A4D-802E-4BD05BD742EB}"/>
    <w:embedBold r:id="rId7" w:fontKey="{BDFC9F70-D0CA-4149-9A01-498F87737BAE}"/>
    <w:embedItalic r:id="rId8" w:fontKey="{3ECE87BB-DCAC-C14A-8279-2D7097536F8A}"/>
  </w:font>
  <w:font w:name="Calibri">
    <w:panose1 w:val="020F0502020204030204"/>
    <w:charset w:val="00"/>
    <w:family w:val="swiss"/>
    <w:pitch w:val="variable"/>
    <w:sig w:usb0="E4002EFF" w:usb1="C200247B" w:usb2="00000009" w:usb3="00000000" w:csb0="000001FF" w:csb1="00000000"/>
    <w:embedRegular r:id="rId9" w:fontKey="{13DD6B6D-FD18-5649-B81C-944723496CF5}"/>
  </w:font>
  <w:font w:name="Cambria">
    <w:panose1 w:val="02040503050406030204"/>
    <w:charset w:val="00"/>
    <w:family w:val="roman"/>
    <w:pitch w:val="variable"/>
    <w:sig w:usb0="E00006FF" w:usb1="420024FF" w:usb2="02000000" w:usb3="00000000" w:csb0="0000019F" w:csb1="00000000"/>
    <w:embedRegular r:id="rId10" w:fontKey="{B2AAB11A-594C-1E48-96D2-327ECE0C336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BAB104" w14:textId="77777777" w:rsidR="004D6BCB" w:rsidRDefault="004D6BCB">
      <w:pPr>
        <w:spacing w:line="240" w:lineRule="auto"/>
      </w:pPr>
      <w:r>
        <w:separator/>
      </w:r>
    </w:p>
  </w:footnote>
  <w:footnote w:type="continuationSeparator" w:id="0">
    <w:p w14:paraId="5F9FA251" w14:textId="77777777" w:rsidR="004D6BCB" w:rsidRDefault="004D6B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FE7AF" w14:textId="77777777" w:rsidR="00724F31" w:rsidRDefault="00000000">
    <w:r>
      <w:rPr>
        <w:noProof/>
      </w:rPr>
      <w:drawing>
        <wp:anchor distT="0" distB="0" distL="114300" distR="114300" simplePos="0" relativeHeight="251658240" behindDoc="0" locked="0" layoutInCell="1" hidden="0" allowOverlap="1" wp14:anchorId="4E70A0DE" wp14:editId="51D832A6">
          <wp:simplePos x="0" y="0"/>
          <wp:positionH relativeFrom="column">
            <wp:posOffset>71</wp:posOffset>
          </wp:positionH>
          <wp:positionV relativeFrom="paragraph">
            <wp:posOffset>180975</wp:posOffset>
          </wp:positionV>
          <wp:extent cx="1381125" cy="681990"/>
          <wp:effectExtent l="0" t="0" r="0" b="0"/>
          <wp:wrapSquare wrapText="bothSides" distT="0" distB="0" distL="114300" distR="114300"/>
          <wp:docPr id="15"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7387F1F9" w14:textId="77777777" w:rsidR="00724F31" w:rsidRDefault="00000000">
    <w:r>
      <w:rPr>
        <w:noProof/>
      </w:rPr>
      <w:drawing>
        <wp:anchor distT="114300" distB="114300" distL="114300" distR="114300" simplePos="0" relativeHeight="251659264" behindDoc="0" locked="0" layoutInCell="1" hidden="0" allowOverlap="1" wp14:anchorId="6E1BE783" wp14:editId="3F8D8B4B">
          <wp:simplePos x="0" y="0"/>
          <wp:positionH relativeFrom="column">
            <wp:posOffset>4334932</wp:posOffset>
          </wp:positionH>
          <wp:positionV relativeFrom="paragraph">
            <wp:posOffset>153965</wp:posOffset>
          </wp:positionV>
          <wp:extent cx="1381125" cy="410884"/>
          <wp:effectExtent l="0" t="0" r="0" b="0"/>
          <wp:wrapSquare wrapText="bothSides" distT="114300" distB="114300" distL="114300" distR="11430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381125" cy="410884"/>
                  </a:xfrm>
                  <a:prstGeom prst="rect">
                    <a:avLst/>
                  </a:prstGeom>
                  <a:ln/>
                </pic:spPr>
              </pic:pic>
            </a:graphicData>
          </a:graphic>
        </wp:anchor>
      </w:drawing>
    </w:r>
  </w:p>
  <w:p w14:paraId="415ACFA6" w14:textId="77777777" w:rsidR="00724F31" w:rsidRDefault="00724F31"/>
  <w:p w14:paraId="53DCE640" w14:textId="77777777" w:rsidR="00724F31" w:rsidRDefault="00724F31"/>
  <w:p w14:paraId="5C7A0203" w14:textId="77777777" w:rsidR="00724F31" w:rsidRDefault="00724F31"/>
  <w:p w14:paraId="4FAC01FC" w14:textId="77777777" w:rsidR="00724F31" w:rsidRDefault="00724F31"/>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31"/>
    <w:rsid w:val="00006C9E"/>
    <w:rsid w:val="004D6BCB"/>
    <w:rsid w:val="00724F31"/>
    <w:rsid w:val="008B32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C256A3F"/>
  <w15:docId w15:val="{DE227851-C5C1-0F44-B890-BF149371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D63203"/>
    <w:pPr>
      <w:tabs>
        <w:tab w:val="center" w:pos="4513"/>
        <w:tab w:val="right" w:pos="9026"/>
      </w:tabs>
      <w:spacing w:line="240" w:lineRule="auto"/>
    </w:pPr>
  </w:style>
  <w:style w:type="character" w:customStyle="1" w:styleId="EncabezadoCar">
    <w:name w:val="Encabezado Car"/>
    <w:basedOn w:val="Fuentedeprrafopredeter"/>
    <w:link w:val="Encabezado"/>
    <w:uiPriority w:val="99"/>
    <w:rsid w:val="00D63203"/>
  </w:style>
  <w:style w:type="paragraph" w:styleId="Piedepgina">
    <w:name w:val="footer"/>
    <w:basedOn w:val="Normal"/>
    <w:link w:val="PiedepginaCar"/>
    <w:uiPriority w:val="99"/>
    <w:unhideWhenUsed/>
    <w:rsid w:val="00D63203"/>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D63203"/>
  </w:style>
  <w:style w:type="paragraph" w:customStyle="1" w:styleId="ds-markdown-paragraph">
    <w:name w:val="ds-markdown-paragraph"/>
    <w:basedOn w:val="Normal"/>
    <w:rsid w:val="0092422E"/>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Fuerte">
    <w:name w:val="Strong"/>
    <w:basedOn w:val="Fuentedeprrafopredeter"/>
    <w:uiPriority w:val="22"/>
    <w:qFormat/>
    <w:rsid w:val="0092422E"/>
    <w:rPr>
      <w:b/>
      <w:bCs/>
    </w:rPr>
  </w:style>
  <w:style w:type="character" w:styleId="nfasis">
    <w:name w:val="Emphasis"/>
    <w:basedOn w:val="Fuentedeprrafopredeter"/>
    <w:uiPriority w:val="20"/>
    <w:qFormat/>
    <w:rsid w:val="0092422E"/>
    <w:rPr>
      <w:i/>
      <w:iCs/>
    </w:rPr>
  </w:style>
  <w:style w:type="character" w:styleId="Hipervnculo">
    <w:name w:val="Hyperlink"/>
    <w:basedOn w:val="Fuentedeprrafopredeter"/>
    <w:uiPriority w:val="99"/>
    <w:unhideWhenUsed/>
    <w:rsid w:val="0092422E"/>
    <w:rPr>
      <w:color w:val="0000FF"/>
      <w:u w:val="single"/>
    </w:rPr>
  </w:style>
  <w:style w:type="character" w:styleId="Mencinsinresolver">
    <w:name w:val="Unresolved Mention"/>
    <w:basedOn w:val="Fuentedeprrafopredeter"/>
    <w:uiPriority w:val="99"/>
    <w:semiHidden/>
    <w:unhideWhenUsed/>
    <w:rsid w:val="005459FA"/>
    <w:rPr>
      <w:color w:val="605E5C"/>
      <w:shd w:val="clear" w:color="auto" w:fill="E1DFDD"/>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iwi.com/" TargetMode="External"/><Relationship Id="rId13" Type="http://schemas.openxmlformats.org/officeDocument/2006/relationships/hyperlink" Target="mailto:prensa@sergat.com" TargetMode="External"/><Relationship Id="rId3" Type="http://schemas.openxmlformats.org/officeDocument/2006/relationships/settings" Target="settings.xml"/><Relationship Id="rId7" Type="http://schemas.openxmlformats.org/officeDocument/2006/relationships/hyperlink" Target="https://kiwi.com/" TargetMode="External"/><Relationship Id="rId12" Type="http://schemas.openxmlformats.org/officeDocument/2006/relationships/hyperlink" Target="https://kiwi.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kiwi.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kiwi.com/" TargetMode="External"/><Relationship Id="rId4" Type="http://schemas.openxmlformats.org/officeDocument/2006/relationships/webSettings" Target="webSettings.xml"/><Relationship Id="rId9" Type="http://schemas.openxmlformats.org/officeDocument/2006/relationships/hyperlink" Target="https://kiwi.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RWHJNnAyeRXXsbNN53OARO5WJQ==">CgMxLjA4AHIhMWxQV25OSVY3WWVlZ2ZwNUtTRmxtWkVwQ2toMWNLd0Ji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945</Words>
  <Characters>5033</Characters>
  <Application>Microsoft Office Word</Application>
  <DocSecurity>0</DocSecurity>
  <Lines>85</Lines>
  <Paragraphs>22</Paragraphs>
  <ScaleCrop>false</ScaleCrop>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Sergat</dc:creator>
  <cp:lastModifiedBy>Ana</cp:lastModifiedBy>
  <cp:revision>2</cp:revision>
  <dcterms:created xsi:type="dcterms:W3CDTF">2026-09-29T15:43:00Z</dcterms:created>
  <dcterms:modified xsi:type="dcterms:W3CDTF">2026-10-14T14:21:00Z</dcterms:modified>
</cp:coreProperties>
</file>