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240" w:before="240" w:line="360" w:lineRule="auto"/>
        <w:jc w:val="center"/>
        <w:rPr>
          <w:rFonts w:ascii="Verdana" w:cs="Verdana" w:eastAsia="Verdana" w:hAnsi="Verdana"/>
          <w:b w:val="1"/>
          <w:bCs w:val="1"/>
        </w:rPr>
      </w:pPr>
      <w:r w:rsidDel="00000000" w:rsidR="00000000" w:rsidRPr="00000000">
        <w:rPr>
          <w:rFonts w:ascii="Verdana" w:cs="Verdana" w:eastAsia="Verdana" w:hAnsi="Verdana"/>
          <w:b w:val="1"/>
          <w:bCs w:val="1"/>
          <w:rtl w:val="0"/>
        </w:rPr>
        <w:t xml:space="preserve">El puente del 12 de octubre dispara las escapadas: los españoles reservan un 132 % más de vuelos </w:t>
      </w:r>
      <w:r w:rsidDel="00000000" w:rsidR="00000000" w:rsidRPr="00000000">
        <w:rPr>
          <w:rtl w:val="0"/>
        </w:rPr>
      </w:r>
    </w:p>
    <w:p w:rsidR="00000000" w:rsidDel="00000000" w:rsidP="00000000" w:rsidRDefault="00000000" w:rsidRPr="00000000" w14:paraId="00000002">
      <w:pPr>
        <w:spacing w:line="360" w:lineRule="auto"/>
        <w:jc w:val="center"/>
        <w:rPr>
          <w:rFonts w:ascii="Verdana" w:cs="Verdana" w:eastAsia="Verdana" w:hAnsi="Verdana"/>
          <w:i w:val="1"/>
          <w:iCs w:val="1"/>
          <w:sz w:val="20"/>
          <w:szCs w:val="20"/>
        </w:rPr>
      </w:pPr>
      <w:r w:rsidDel="00000000" w:rsidR="00000000" w:rsidRPr="00000000">
        <w:rPr>
          <w:rFonts w:ascii="Verdana" w:cs="Verdana" w:eastAsia="Verdana" w:hAnsi="Verdana"/>
          <w:i w:val="1"/>
          <w:iCs w:val="1"/>
          <w:sz w:val="20"/>
          <w:szCs w:val="20"/>
          <w:rtl w:val="0"/>
        </w:rPr>
        <w:t xml:space="preserve">Palma de Mallorca, Roma e Ibiza y otras ciudades europeas como Budapest lideran los destinos. Valencia es la gran protagonista: sus salidas se multiplican un 231,5% gracias al fin de semana de cuatro días que le regala su festivo autonómico del 9 de octubre.</w:t>
      </w:r>
    </w:p>
    <w:p w:rsidR="00000000" w:rsidDel="00000000" w:rsidP="00000000" w:rsidRDefault="00000000" w:rsidRPr="00000000" w14:paraId="00000003">
      <w:pPr>
        <w:spacing w:after="240" w:before="240" w:line="360" w:lineRule="auto"/>
        <w:jc w:val="both"/>
        <w:rPr>
          <w:rFonts w:ascii="Verdana" w:cs="Verdana" w:eastAsia="Verdana" w:hAnsi="Verdana"/>
          <w:sz w:val="20"/>
          <w:szCs w:val="20"/>
        </w:rPr>
      </w:pPr>
      <w:r w:rsidDel="00000000" w:rsidR="00000000" w:rsidRPr="00000000">
        <w:rPr>
          <w:rFonts w:ascii="Verdana" w:cs="Verdana" w:eastAsia="Verdana" w:hAnsi="Verdana"/>
          <w:b w:val="1"/>
          <w:bCs w:val="1"/>
          <w:sz w:val="20"/>
          <w:szCs w:val="20"/>
          <w:rtl w:val="0"/>
        </w:rPr>
        <w:br w:type="textWrapping"/>
        <w:t xml:space="preserve">Barcelona, 7 de octubre de 2026:</w:t>
      </w:r>
      <w:r w:rsidDel="00000000" w:rsidR="00000000" w:rsidRPr="00000000">
        <w:rPr>
          <w:rFonts w:ascii="Verdana" w:cs="Verdana" w:eastAsia="Verdana" w:hAnsi="Verdana"/>
          <w:sz w:val="20"/>
          <w:szCs w:val="20"/>
          <w:rtl w:val="0"/>
        </w:rPr>
        <w:t xml:space="preserve"> El primer puente del otoño, el del 12 de octubre,  se ha convertido en una de las citas más consolidadas del calendario turístico. Las reservas realizadas por clientes de nacionalidad española en Kiwi.com, empresa líder en tecnología turística, para salidas el viernes 9 o el sábado 10 de octubre y regresos el lunes 12 o el martes 13, se han más que duplicado con respecto al año anterior: el número de pasajeros ha aumentado un 132 % y las reservas, un 129 %. Esto ocurre en un escenario en el que los precios medios han subido un 22,7 % en comparación con 2025. El precio mediano también ha aumentado un 23,3 %, hasta los 166,50 euros.</w:t>
      </w:r>
    </w:p>
    <w:p w:rsidR="00000000" w:rsidDel="00000000" w:rsidP="00000000" w:rsidRDefault="00000000" w:rsidRPr="00000000" w14:paraId="00000004">
      <w:pPr>
        <w:spacing w:line="360" w:lineRule="auto"/>
        <w:jc w:val="both"/>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El encarecimiento del billete es transversal a todas las distancias. Las escapadas de corto radio suben su precio un 23,6 % de media; las de medio radio, un 24,2 % de media. En otras palabras: los españoles viajan más y a un precio más alto.</w:t>
      </w:r>
    </w:p>
    <w:p w:rsidR="00000000" w:rsidDel="00000000" w:rsidP="00000000" w:rsidRDefault="00000000" w:rsidRPr="00000000" w14:paraId="00000005">
      <w:pPr>
        <w:spacing w:line="360" w:lineRule="auto"/>
        <w:jc w:val="both"/>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 </w:t>
      </w:r>
    </w:p>
    <w:p w:rsidR="00000000" w:rsidDel="00000000" w:rsidP="00000000" w:rsidRDefault="00000000" w:rsidRPr="00000000" w14:paraId="00000006">
      <w:pPr>
        <w:spacing w:line="360" w:lineRule="auto"/>
        <w:jc w:val="both"/>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España es el primer destino de este puente, por delante de Italia, Reino Unido, Francia y Portugal. En el </w:t>
      </w:r>
      <w:r w:rsidDel="00000000" w:rsidR="00000000" w:rsidRPr="00000000">
        <w:rPr>
          <w:rFonts w:ascii="Verdana" w:cs="Verdana" w:eastAsia="Verdana" w:hAnsi="Verdana"/>
          <w:i w:val="1"/>
          <w:iCs w:val="1"/>
          <w:sz w:val="20"/>
          <w:szCs w:val="20"/>
          <w:rtl w:val="0"/>
        </w:rPr>
        <w:t xml:space="preserve">ranking</w:t>
      </w:r>
      <w:r w:rsidDel="00000000" w:rsidR="00000000" w:rsidRPr="00000000">
        <w:rPr>
          <w:rFonts w:ascii="Verdana" w:cs="Verdana" w:eastAsia="Verdana" w:hAnsi="Verdana"/>
          <w:sz w:val="20"/>
          <w:szCs w:val="20"/>
          <w:rtl w:val="0"/>
        </w:rPr>
        <w:t xml:space="preserve"> de ciudades, Palma de Mallorca lidera, seguida de Roma, Ibiza, Barcelona, Budapest, Sevilla, Milán (Malpensa), Madrid, Londres (Luton) y Bucarest. Cierran el </w:t>
      </w:r>
      <w:r w:rsidDel="00000000" w:rsidR="00000000" w:rsidRPr="00000000">
        <w:rPr>
          <w:rFonts w:ascii="Verdana" w:cs="Verdana" w:eastAsia="Verdana" w:hAnsi="Verdana"/>
          <w:i w:val="1"/>
          <w:iCs w:val="1"/>
          <w:sz w:val="20"/>
          <w:szCs w:val="20"/>
          <w:rtl w:val="0"/>
        </w:rPr>
        <w:t xml:space="preserve">top</w:t>
      </w:r>
      <w:r w:rsidDel="00000000" w:rsidR="00000000" w:rsidRPr="00000000">
        <w:rPr>
          <w:rFonts w:ascii="Verdana" w:cs="Verdana" w:eastAsia="Verdana" w:hAnsi="Verdana"/>
          <w:sz w:val="20"/>
          <w:szCs w:val="20"/>
          <w:rtl w:val="0"/>
        </w:rPr>
        <w:t xml:space="preserve"> 15 Málaga, Oporto, Milán (Bérgamo), Bilbao y Dublín. Dominan, por tanto, las escapadas urbanas y de sol dentro de casa.</w:t>
      </w:r>
    </w:p>
    <w:p w:rsidR="00000000" w:rsidDel="00000000" w:rsidP="00000000" w:rsidRDefault="00000000" w:rsidRPr="00000000" w14:paraId="00000007">
      <w:pPr>
        <w:spacing w:line="360" w:lineRule="auto"/>
        <w:jc w:val="both"/>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 </w:t>
      </w:r>
    </w:p>
    <w:p w:rsidR="00000000" w:rsidDel="00000000" w:rsidP="00000000" w:rsidRDefault="00000000" w:rsidRPr="00000000" w14:paraId="00000008">
      <w:pPr>
        <w:spacing w:line="360" w:lineRule="auto"/>
        <w:jc w:val="both"/>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Más allá de los clásicos de Europa Occidental, el centro y el este del continente ganan peso: Polonia, Hungría y Rumanía se cuelan en el </w:t>
      </w:r>
      <w:r w:rsidDel="00000000" w:rsidR="00000000" w:rsidRPr="00000000">
        <w:rPr>
          <w:rFonts w:ascii="Verdana" w:cs="Verdana" w:eastAsia="Verdana" w:hAnsi="Verdana"/>
          <w:i w:val="1"/>
          <w:iCs w:val="1"/>
          <w:sz w:val="20"/>
          <w:szCs w:val="20"/>
          <w:rtl w:val="0"/>
        </w:rPr>
        <w:t xml:space="preserve">top</w:t>
      </w:r>
      <w:r w:rsidDel="00000000" w:rsidR="00000000" w:rsidRPr="00000000">
        <w:rPr>
          <w:rFonts w:ascii="Verdana" w:cs="Verdana" w:eastAsia="Verdana" w:hAnsi="Verdana"/>
          <w:sz w:val="20"/>
          <w:szCs w:val="20"/>
          <w:rtl w:val="0"/>
        </w:rPr>
        <w:t xml:space="preserve"> 10 de países, y Marruecos es el primer destino no europeo, en octava posición. En total, los clientes españoles han reservado vuelos a 53 países para este puente.</w:t>
      </w:r>
    </w:p>
    <w:p w:rsidR="00000000" w:rsidDel="00000000" w:rsidP="00000000" w:rsidRDefault="00000000" w:rsidRPr="00000000" w14:paraId="00000009">
      <w:pPr>
        <w:spacing w:line="360" w:lineRule="auto"/>
        <w:jc w:val="both"/>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 </w:t>
      </w:r>
    </w:p>
    <w:p w:rsidR="00000000" w:rsidDel="00000000" w:rsidP="00000000" w:rsidRDefault="00000000" w:rsidRPr="00000000" w14:paraId="0000000A">
      <w:pPr>
        <w:spacing w:line="360" w:lineRule="auto"/>
        <w:jc w:val="both"/>
        <w:rPr>
          <w:rFonts w:ascii="Verdana" w:cs="Verdana" w:eastAsia="Verdana" w:hAnsi="Verdana"/>
          <w:b w:val="1"/>
          <w:bCs w:val="1"/>
          <w:sz w:val="20"/>
          <w:szCs w:val="20"/>
        </w:rPr>
      </w:pPr>
      <w:r w:rsidDel="00000000" w:rsidR="00000000" w:rsidRPr="00000000">
        <w:rPr>
          <w:rFonts w:ascii="Verdana" w:cs="Verdana" w:eastAsia="Verdana" w:hAnsi="Verdana"/>
          <w:b w:val="1"/>
          <w:bCs w:val="1"/>
          <w:sz w:val="20"/>
          <w:szCs w:val="20"/>
          <w:rtl w:val="0"/>
        </w:rPr>
        <w:t xml:space="preserve">Valencia, el efecto del fin de semana de cuatro días</w:t>
      </w:r>
    </w:p>
    <w:p w:rsidR="00000000" w:rsidDel="00000000" w:rsidP="00000000" w:rsidRDefault="00000000" w:rsidRPr="00000000" w14:paraId="0000000B">
      <w:pPr>
        <w:spacing w:line="360" w:lineRule="auto"/>
        <w:jc w:val="both"/>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 </w:t>
      </w:r>
    </w:p>
    <w:p w:rsidR="00000000" w:rsidDel="00000000" w:rsidP="00000000" w:rsidRDefault="00000000" w:rsidRPr="00000000" w14:paraId="0000000C">
      <w:pPr>
        <w:spacing w:line="360" w:lineRule="auto"/>
        <w:jc w:val="both"/>
        <w:rPr>
          <w:rFonts w:ascii="Verdana" w:cs="Verdana" w:eastAsia="Verdana" w:hAnsi="Verdana"/>
          <w:b w:val="1"/>
          <w:bCs w:val="1"/>
          <w:sz w:val="20"/>
          <w:szCs w:val="20"/>
        </w:rPr>
      </w:pPr>
      <w:r w:rsidDel="00000000" w:rsidR="00000000" w:rsidRPr="00000000">
        <w:rPr>
          <w:rFonts w:ascii="Verdana" w:cs="Verdana" w:eastAsia="Verdana" w:hAnsi="Verdana"/>
          <w:sz w:val="20"/>
          <w:szCs w:val="20"/>
          <w:rtl w:val="0"/>
        </w:rPr>
        <w:t xml:space="preserve">El festivo autonómico de Valencia el viernes 9 de octubre convierte el puente nacional en un fin de semana de cuatro días en la Comunidad Valenciana, y el patrón de reservas lo refleja con claridad. Los pasajeros que salen desde Valencia crecen un 231,5 % respecto al año anterior, el mayor incremento entre los principales aeropuertos de salida. Además, el reparto por días se adelanta: el viernes 9 es el día de mayor salida, pero el jueves 8 ya concentra una parte relevante de los vuelos, prueba de ese cuarto día extra. Sus destinos favoritos son Sevilla, Roma, Budapest, Milán y Palma.</w:t>
      </w:r>
      <w:r w:rsidDel="00000000" w:rsidR="00000000" w:rsidRPr="00000000">
        <w:rPr>
          <w:rtl w:val="0"/>
        </w:rPr>
      </w:r>
    </w:p>
    <w:p w:rsidR="00000000" w:rsidDel="00000000" w:rsidP="00000000" w:rsidRDefault="00000000" w:rsidRPr="00000000" w14:paraId="0000000D">
      <w:pPr>
        <w:spacing w:line="360" w:lineRule="auto"/>
        <w:jc w:val="both"/>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 </w:t>
      </w:r>
    </w:p>
    <w:p w:rsidR="00000000" w:rsidDel="00000000" w:rsidP="00000000" w:rsidRDefault="00000000" w:rsidRPr="00000000" w14:paraId="0000000E">
      <w:pPr>
        <w:spacing w:line="360" w:lineRule="auto"/>
        <w:jc w:val="both"/>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Por aeropuertos de origen, Madrid (20,3%) y Barcelona (19,5%) reúnen cerca del 40% de los pasajeros del puente. Les siguen Alicante (10,5%), Valencia (10,2%) y Málaga (9,5%), y después Bilbao y Sevilla.</w:t>
      </w:r>
    </w:p>
    <w:p w:rsidR="00000000" w:rsidDel="00000000" w:rsidP="00000000" w:rsidRDefault="00000000" w:rsidRPr="00000000" w14:paraId="0000000F">
      <w:pPr>
        <w:spacing w:line="360" w:lineRule="auto"/>
        <w:jc w:val="both"/>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 </w:t>
      </w:r>
    </w:p>
    <w:p w:rsidR="00000000" w:rsidDel="00000000" w:rsidP="00000000" w:rsidRDefault="00000000" w:rsidRPr="00000000" w14:paraId="00000010">
      <w:pPr>
        <w:spacing w:line="360" w:lineRule="auto"/>
        <w:jc w:val="both"/>
        <w:rPr>
          <w:rFonts w:ascii="Verdana" w:cs="Verdana" w:eastAsia="Verdana" w:hAnsi="Verdana"/>
          <w:i w:val="1"/>
          <w:iCs w:val="1"/>
          <w:sz w:val="20"/>
          <w:szCs w:val="20"/>
        </w:rPr>
      </w:pPr>
      <w:r w:rsidDel="00000000" w:rsidR="00000000" w:rsidRPr="00000000">
        <w:rPr>
          <w:rFonts w:ascii="Verdana" w:cs="Verdana" w:eastAsia="Verdana" w:hAnsi="Verdana"/>
          <w:i w:val="1"/>
          <w:iCs w:val="1"/>
          <w:sz w:val="20"/>
          <w:szCs w:val="20"/>
          <w:rtl w:val="0"/>
        </w:rPr>
        <w:t xml:space="preserve">*Datos analizados: reservas finalizadas realizadas en Kiwi.com por clientes de nacionalidad española con salida el 9 o 10 de octubre de 2026 y regreso el 12 o 13 de octubre, contabilizadas hasta el 6 de octubre de 2026. La comparación interanual utiliza una ventana equivalente de 2025 (salidas 10/11 de octubre, regresos 13/14 de octubre) con el mismo corte de madurez de reserva. Los precios corresponden al gasto bruto por pasajero en euros. Las cifras son reservas confirmadas a fecha de corte: aún se acumularán más reservas antes de la ventana de viaje.</w:t>
      </w:r>
    </w:p>
    <w:p w:rsidR="00000000" w:rsidDel="00000000" w:rsidP="00000000" w:rsidRDefault="00000000" w:rsidRPr="00000000" w14:paraId="00000011">
      <w:pPr>
        <w:spacing w:line="360" w:lineRule="auto"/>
        <w:jc w:val="both"/>
        <w:rPr>
          <w:rFonts w:ascii="Verdana" w:cs="Verdana" w:eastAsia="Verdana" w:hAnsi="Verdana"/>
          <w:i w:val="1"/>
          <w:iCs w:val="1"/>
          <w:sz w:val="20"/>
          <w:szCs w:val="20"/>
        </w:rPr>
      </w:pPr>
      <w:r w:rsidDel="00000000" w:rsidR="00000000" w:rsidRPr="00000000">
        <w:rPr>
          <w:rtl w:val="0"/>
        </w:rPr>
      </w:r>
    </w:p>
    <w:p w:rsidR="00000000" w:rsidDel="00000000" w:rsidP="00000000" w:rsidRDefault="00000000" w:rsidRPr="00000000" w14:paraId="00000012">
      <w:pPr>
        <w:spacing w:line="360" w:lineRule="auto"/>
        <w:jc w:val="both"/>
        <w:rPr/>
      </w:pPr>
      <w:r w:rsidDel="00000000" w:rsidR="00000000" w:rsidRPr="00000000">
        <w:rPr>
          <w:rFonts w:ascii="Verdana" w:cs="Verdana" w:eastAsia="Verdana" w:hAnsi="Verdana"/>
          <w:b w:val="1"/>
          <w:bCs w:val="1"/>
          <w:sz w:val="20"/>
          <w:szCs w:val="20"/>
          <w:rtl w:val="0"/>
        </w:rPr>
        <w:t xml:space="preserve">Acerca de Kiwi.com</w:t>
      </w:r>
      <w:r w:rsidDel="00000000" w:rsidR="00000000" w:rsidRPr="00000000">
        <w:rPr>
          <w:rtl w:val="0"/>
        </w:rPr>
      </w:r>
    </w:p>
    <w:p w:rsidR="00000000" w:rsidDel="00000000" w:rsidP="00000000" w:rsidRDefault="00000000" w:rsidRPr="00000000" w14:paraId="00000013">
      <w:pPr>
        <w:jc w:val="both"/>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Kiwi.com es una empresa líder en tecnología de viajes y una agencia de viajes online que ayuda a los viajeros a encontrar las mejores ofertas de vuelos entre millones de rutas. Ofrece una combinación única de tarifas económicas y tranquilidad gracias a la Garantía Kiwi.com, que proporciona asistencia y protección cuando cambian los planes de viaje.</w:t>
      </w:r>
    </w:p>
    <w:p w:rsidR="00000000" w:rsidDel="00000000" w:rsidP="00000000" w:rsidRDefault="00000000" w:rsidRPr="00000000" w14:paraId="00000014">
      <w:pPr>
        <w:spacing w:line="360" w:lineRule="auto"/>
        <w:jc w:val="both"/>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015">
      <w:pPr>
        <w:jc w:val="both"/>
        <w:rPr>
          <w:rFonts w:ascii="Verdana" w:cs="Verdana" w:eastAsia="Verdana" w:hAnsi="Verdana"/>
          <w:b w:val="1"/>
          <w:bCs w:val="1"/>
          <w:sz w:val="20"/>
          <w:szCs w:val="20"/>
        </w:rPr>
      </w:pPr>
      <w:r w:rsidDel="00000000" w:rsidR="00000000" w:rsidRPr="00000000">
        <w:rPr>
          <w:rFonts w:ascii="Verdana" w:cs="Verdana" w:eastAsia="Verdana" w:hAnsi="Verdana"/>
          <w:b w:val="1"/>
          <w:bCs w:val="1"/>
          <w:sz w:val="20"/>
          <w:szCs w:val="20"/>
          <w:rtl w:val="0"/>
        </w:rPr>
        <w:t xml:space="preserve">Contacto de prensa:</w:t>
      </w:r>
    </w:p>
    <w:p w:rsidR="00000000" w:rsidDel="00000000" w:rsidP="00000000" w:rsidRDefault="00000000" w:rsidRPr="00000000" w14:paraId="00000016">
      <w:pPr>
        <w:jc w:val="both"/>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SERGAT, agencia de comunicación</w:t>
      </w:r>
    </w:p>
    <w:p w:rsidR="00000000" w:rsidDel="00000000" w:rsidP="00000000" w:rsidRDefault="00000000" w:rsidRPr="00000000" w14:paraId="00000017">
      <w:pPr>
        <w:jc w:val="both"/>
        <w:rPr>
          <w:rFonts w:ascii="Verdana" w:cs="Verdana" w:eastAsia="Verdana" w:hAnsi="Verdana"/>
          <w:color w:val="006699"/>
          <w:sz w:val="20"/>
          <w:szCs w:val="20"/>
        </w:rPr>
      </w:pPr>
      <w:hyperlink r:id="rId7">
        <w:r w:rsidDel="00000000" w:rsidR="00000000" w:rsidRPr="00000000">
          <w:rPr>
            <w:rFonts w:ascii="Verdana" w:cs="Verdana" w:eastAsia="Verdana" w:hAnsi="Verdana"/>
            <w:color w:val="0000ff"/>
            <w:sz w:val="20"/>
            <w:szCs w:val="20"/>
            <w:u w:val="single"/>
            <w:rtl w:val="0"/>
          </w:rPr>
          <w:t xml:space="preserve">prensa@sergat.com</w:t>
        </w:r>
      </w:hyperlink>
      <w:r w:rsidDel="00000000" w:rsidR="00000000" w:rsidRPr="00000000">
        <w:rPr>
          <w:rFonts w:ascii="Verdana" w:cs="Verdana" w:eastAsia="Verdana" w:hAnsi="Verdana"/>
          <w:color w:val="006699"/>
          <w:sz w:val="20"/>
          <w:szCs w:val="20"/>
          <w:rtl w:val="0"/>
        </w:rPr>
        <w:t xml:space="preserve">  </w:t>
      </w:r>
    </w:p>
    <w:p w:rsidR="00000000" w:rsidDel="00000000" w:rsidP="00000000" w:rsidRDefault="00000000" w:rsidRPr="00000000" w14:paraId="00000018">
      <w:pPr>
        <w:spacing w:line="331" w:lineRule="auto"/>
        <w:jc w:val="both"/>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019">
      <w:pPr>
        <w:spacing w:line="331" w:lineRule="auto"/>
        <w:jc w:val="both"/>
        <w:rPr>
          <w:rFonts w:ascii="Verdana" w:cs="Verdana" w:eastAsia="Verdana" w:hAnsi="Verdana"/>
          <w:b w:val="1"/>
          <w:bCs w:val="1"/>
          <w:sz w:val="20"/>
          <w:szCs w:val="20"/>
        </w:rPr>
      </w:pPr>
      <w:r w:rsidDel="00000000" w:rsidR="00000000" w:rsidRPr="00000000">
        <w:rPr>
          <w:rtl w:val="0"/>
        </w:rPr>
      </w:r>
    </w:p>
    <w:sectPr>
      <w:headerReference r:id="rId8" w:type="default"/>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Verdana"/>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A">
    <w:pPr>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70</wp:posOffset>
          </wp:positionH>
          <wp:positionV relativeFrom="paragraph">
            <wp:posOffset>180975</wp:posOffset>
          </wp:positionV>
          <wp:extent cx="1381125" cy="681990"/>
          <wp:effectExtent b="0" l="0" r="0" t="0"/>
          <wp:wrapSquare wrapText="bothSides" distB="0" distT="0" distL="114300" distR="114300"/>
          <wp:docPr descr="Logo-63" id="13" name="image1.png"/>
          <a:graphic>
            <a:graphicData uri="http://schemas.openxmlformats.org/drawingml/2006/picture">
              <pic:pic>
                <pic:nvPicPr>
                  <pic:cNvPr descr="Logo-63" id="0" name="image1.png"/>
                  <pic:cNvPicPr preferRelativeResize="0"/>
                </pic:nvPicPr>
                <pic:blipFill>
                  <a:blip r:embed="rId1"/>
                  <a:srcRect b="114" l="0" r="0" t="116"/>
                  <a:stretch>
                    <a:fillRect/>
                  </a:stretch>
                </pic:blipFill>
                <pic:spPr>
                  <a:xfrm>
                    <a:off x="0" y="0"/>
                    <a:ext cx="1381125" cy="681990"/>
                  </a:xfrm>
                  <a:prstGeom prst="rect"/>
                  <a:ln/>
                </pic:spPr>
              </pic:pic>
            </a:graphicData>
          </a:graphic>
        </wp:anchor>
      </w:drawing>
    </w:r>
  </w:p>
  <w:p w:rsidR="00000000" w:rsidDel="00000000" w:rsidP="00000000" w:rsidRDefault="00000000" w:rsidRPr="00000000" w14:paraId="0000001B">
    <w:pPr>
      <w:rPr/>
    </w:pP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4334932</wp:posOffset>
          </wp:positionH>
          <wp:positionV relativeFrom="paragraph">
            <wp:posOffset>153965</wp:posOffset>
          </wp:positionV>
          <wp:extent cx="1381125" cy="410884"/>
          <wp:effectExtent b="0" l="0" r="0" t="0"/>
          <wp:wrapSquare wrapText="bothSides" distB="114300" distT="114300" distL="114300" distR="114300"/>
          <wp:docPr id="14" name="image2.png"/>
          <a:graphic>
            <a:graphicData uri="http://schemas.openxmlformats.org/drawingml/2006/picture">
              <pic:pic>
                <pic:nvPicPr>
                  <pic:cNvPr id="0" name="image2.png"/>
                  <pic:cNvPicPr preferRelativeResize="0"/>
                </pic:nvPicPr>
                <pic:blipFill>
                  <a:blip r:embed="rId2"/>
                  <a:srcRect b="0" l="0" r="0" t="0"/>
                  <a:stretch>
                    <a:fillRect/>
                  </a:stretch>
                </pic:blipFill>
                <pic:spPr>
                  <a:xfrm>
                    <a:off x="0" y="0"/>
                    <a:ext cx="1381125" cy="410884"/>
                  </a:xfrm>
                  <a:prstGeom prst="rect"/>
                  <a:ln/>
                </pic:spPr>
              </pic:pic>
            </a:graphicData>
          </a:graphic>
        </wp:anchor>
      </w:drawing>
    </w:r>
  </w:p>
  <w:p w:rsidR="00000000" w:rsidDel="00000000" w:rsidP="00000000" w:rsidRDefault="00000000" w:rsidRPr="00000000" w14:paraId="0000001C">
    <w:pPr>
      <w:rPr/>
    </w:pPr>
    <w:r w:rsidDel="00000000" w:rsidR="00000000" w:rsidRPr="00000000">
      <w:rPr>
        <w:rtl w:val="0"/>
      </w:rPr>
    </w:r>
  </w:p>
  <w:p w:rsidR="00000000" w:rsidDel="00000000" w:rsidP="00000000" w:rsidRDefault="00000000" w:rsidRPr="00000000" w14:paraId="0000001D">
    <w:pPr>
      <w:rPr/>
    </w:pPr>
    <w:r w:rsidDel="00000000" w:rsidR="00000000" w:rsidRPr="00000000">
      <w:rPr>
        <w:rtl w:val="0"/>
      </w:rPr>
    </w:r>
  </w:p>
  <w:p w:rsidR="00000000" w:rsidDel="00000000" w:rsidP="00000000" w:rsidRDefault="00000000" w:rsidRPr="00000000" w14:paraId="0000001E">
    <w:pPr>
      <w:rPr/>
    </w:pPr>
    <w:r w:rsidDel="00000000" w:rsidR="00000000" w:rsidRPr="00000000">
      <w:rPr>
        <w:rtl w:val="0"/>
      </w:rPr>
    </w:r>
  </w:p>
  <w:p w:rsidR="00000000" w:rsidDel="00000000" w:rsidP="00000000" w:rsidRDefault="00000000" w:rsidRPr="00000000" w14:paraId="0000001F">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s"/>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sz w:val="32"/>
      <w:szCs w:val="32"/>
    </w:rPr>
  </w:style>
  <w:style w:type="paragraph" w:styleId="Heading3">
    <w:name w:val="heading 3"/>
    <w:basedOn w:val="Normal"/>
    <w:next w:val="Normal"/>
    <w:pPr>
      <w:keepNext w:val="1"/>
      <w:keepLines w:val="1"/>
      <w:spacing w:after="80" w:before="320" w:lineRule="auto"/>
    </w:pPr>
    <w:rPr>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rPr>
  </w:style>
  <w:style w:type="paragraph" w:styleId="Heading6">
    <w:name w:val="heading 6"/>
    <w:basedOn w:val="Normal"/>
    <w:next w:val="Normal"/>
    <w:pPr>
      <w:keepNext w:val="1"/>
      <w:keepLines w:val="1"/>
      <w:spacing w:after="80" w:before="240" w:lineRule="auto"/>
    </w:pPr>
    <w:rPr>
      <w:i w:val="1"/>
      <w:iCs w:val="1"/>
      <w:color w:val="666666"/>
    </w:rPr>
  </w:style>
  <w:style w:type="paragraph" w:styleId="Title">
    <w:name w:val="Title"/>
    <w:basedOn w:val="Normal"/>
    <w:next w:val="Normal"/>
    <w:pPr>
      <w:keepNext w:val="1"/>
      <w:keepLines w:val="1"/>
      <w:spacing w:after="60" w:lineRule="auto"/>
    </w:pPr>
    <w:rPr>
      <w:sz w:val="52"/>
      <w:szCs w:val="52"/>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character" w:styleId="Fuentedeprrafopredeter" w:default="1">
    <w:name w:val="Default Paragraph Font"/>
    <w:uiPriority w:val="1"/>
    <w:semiHidden w:val="1"/>
    <w:unhideWhenUsed w:val="1"/>
  </w:style>
  <w:style w:type="table" w:styleId="Tabla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Sinlista" w:default="1">
    <w:name w:val="No List"/>
    <w:uiPriority w:val="99"/>
    <w:semiHidden w:val="1"/>
    <w:unhideWhenUsed w:val="1"/>
  </w:style>
  <w:style w:type="table" w:styleId="TableNormal" w:customStyle="1">
    <w:name w:val="TableNormal"/>
    <w:tblPr>
      <w:tblCellMar>
        <w:top w:w="100.0" w:type="dxa"/>
        <w:left w:w="100.0" w:type="dxa"/>
        <w:bottom w:w="100.0" w:type="dxa"/>
        <w:right w:w="100.0" w:type="dxa"/>
      </w:tblCellMar>
    </w:tblPr>
  </w:style>
  <w:style w:type="table" w:styleId="TableNormal0" w:customStyle="1">
    <w:name w:val="TableNormal"/>
    <w:tblPr>
      <w:tblCellMar>
        <w:top w:w="100.0" w:type="dxa"/>
        <w:left w:w="100.0" w:type="dxa"/>
        <w:bottom w:w="100.0" w:type="dxa"/>
        <w:right w:w="100.0" w:type="dxa"/>
      </w:tblCellMar>
    </w:tblPr>
  </w:style>
  <w:style w:type="table" w:styleId="TableNormal1" w:customStyle="1">
    <w:name w:val="TableNormal"/>
    <w:tblPr>
      <w:tblCellMar>
        <w:top w:w="100.0" w:type="dxa"/>
        <w:left w:w="100.0" w:type="dxa"/>
        <w:bottom w:w="100.0" w:type="dxa"/>
        <w:right w:w="100.0" w:type="dxa"/>
      </w:tblCellMar>
    </w:tblPr>
  </w:style>
  <w:style w:type="table" w:styleId="TableNormal2" w:customStyle="1">
    <w:name w:val="TableNormal"/>
    <w:tblPr>
      <w:tblCellMar>
        <w:top w:w="100.0" w:type="dxa"/>
        <w:left w:w="100.0" w:type="dxa"/>
        <w:bottom w:w="100.0" w:type="dxa"/>
        <w:right w:w="100.0" w:type="dxa"/>
      </w:tblCellMar>
    </w:tblPr>
  </w:style>
  <w:style w:type="table" w:styleId="TableNormal3" w:customStyle="1">
    <w:name w:val="TableNormal"/>
    <w:tblPr>
      <w:tblCellMar>
        <w:top w:w="100.0" w:type="dxa"/>
        <w:left w:w="100.0" w:type="dxa"/>
        <w:bottom w:w="100.0" w:type="dxa"/>
        <w:right w:w="100.0" w:type="dxa"/>
      </w:tblCellMar>
    </w:tblPr>
  </w:style>
  <w:style w:type="paragraph" w:styleId="Encabezado">
    <w:name w:val="header"/>
    <w:basedOn w:val="Normal"/>
    <w:link w:val="EncabezadoCar"/>
    <w:uiPriority w:val="99"/>
    <w:unhideWhenUsed w:val="1"/>
    <w:rsid w:val="00D63203"/>
    <w:pPr>
      <w:tabs>
        <w:tab w:val="center" w:pos="4513"/>
        <w:tab w:val="right" w:pos="9026"/>
      </w:tabs>
      <w:spacing w:line="240" w:lineRule="auto"/>
    </w:pPr>
  </w:style>
  <w:style w:type="character" w:styleId="EncabezadoCar" w:customStyle="1">
    <w:name w:val="Encabezado Car"/>
    <w:basedOn w:val="Fuentedeprrafopredeter"/>
    <w:link w:val="Encabezado"/>
    <w:uiPriority w:val="99"/>
    <w:rsid w:val="00D63203"/>
  </w:style>
  <w:style w:type="paragraph" w:styleId="Piedepgina">
    <w:name w:val="footer"/>
    <w:basedOn w:val="Normal"/>
    <w:link w:val="PiedepginaCar"/>
    <w:uiPriority w:val="99"/>
    <w:unhideWhenUsed w:val="1"/>
    <w:rsid w:val="00D63203"/>
    <w:pPr>
      <w:tabs>
        <w:tab w:val="center" w:pos="4513"/>
        <w:tab w:val="right" w:pos="9026"/>
      </w:tabs>
      <w:spacing w:line="240" w:lineRule="auto"/>
    </w:pPr>
  </w:style>
  <w:style w:type="character" w:styleId="PiedepginaCar" w:customStyle="1">
    <w:name w:val="Pie de página Car"/>
    <w:basedOn w:val="Fuentedeprrafopredeter"/>
    <w:link w:val="Piedepgina"/>
    <w:uiPriority w:val="99"/>
    <w:rsid w:val="00D63203"/>
  </w:style>
  <w:style w:type="paragraph" w:styleId="ds-markdown-paragraph" w:customStyle="1">
    <w:name w:val="ds-markdown-paragraph"/>
    <w:basedOn w:val="Normal"/>
    <w:rsid w:val="0092422E"/>
    <w:pPr>
      <w:spacing w:after="100" w:afterAutospacing="1" w:before="100" w:beforeAutospacing="1" w:line="240" w:lineRule="auto"/>
    </w:pPr>
    <w:rPr>
      <w:rFonts w:ascii="Times New Roman" w:cs="Times New Roman" w:eastAsia="Times New Roman" w:hAnsi="Times New Roman"/>
      <w:sz w:val="24"/>
      <w:szCs w:val="24"/>
      <w:lang w:val="es-ES"/>
    </w:rPr>
  </w:style>
  <w:style w:type="character" w:styleId="Fuerte">
    <w:name w:val="Strong"/>
    <w:basedOn w:val="Fuentedeprrafopredeter"/>
    <w:uiPriority w:val="22"/>
    <w:qFormat w:val="1"/>
    <w:rsid w:val="0092422E"/>
    <w:rPr>
      <w:b w:val="1"/>
      <w:bCs w:val="1"/>
    </w:rPr>
  </w:style>
  <w:style w:type="character" w:styleId="nfasis">
    <w:name w:val="Emphasis"/>
    <w:basedOn w:val="Fuentedeprrafopredeter"/>
    <w:uiPriority w:val="20"/>
    <w:qFormat w:val="1"/>
    <w:rsid w:val="0092422E"/>
    <w:rPr>
      <w:i w:val="1"/>
      <w:iCs w:val="1"/>
    </w:rPr>
  </w:style>
  <w:style w:type="character" w:styleId="Hipervnculo">
    <w:name w:val="Hyperlink"/>
    <w:basedOn w:val="Fuentedeprrafopredeter"/>
    <w:uiPriority w:val="99"/>
    <w:unhideWhenUsed w:val="1"/>
    <w:rsid w:val="0092422E"/>
    <w:rPr>
      <w:color w:val="0000ff"/>
      <w:u w:val="single"/>
    </w:rPr>
  </w:style>
  <w:style w:type="character" w:styleId="Mencinsinresolver">
    <w:name w:val="Unresolved Mention"/>
    <w:basedOn w:val="Fuentedeprrafopredeter"/>
    <w:uiPriority w:val="99"/>
    <w:semiHidden w:val="1"/>
    <w:unhideWhenUsed w:val="1"/>
    <w:rsid w:val="005459FA"/>
    <w:rPr>
      <w:color w:val="605e5c"/>
      <w:shd w:color="auto" w:fill="e1dfdd" w:val="clear"/>
    </w:rPr>
  </w:style>
  <w:style w:type="paragraph" w:styleId="Subtitle">
    <w:name w:val="Subtitle"/>
    <w:basedOn w:val="Normal"/>
    <w:next w:val="Normal"/>
    <w:pPr>
      <w:keepNext w:val="1"/>
      <w:keepLines w:val="1"/>
      <w:spacing w:after="320" w:lineRule="auto"/>
    </w:pPr>
    <w:rPr>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mailto:prensa@sergat.com" TargetMode="External"/><Relationship Id="rId8"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5hnz0qASaJBuU0nTAk5RvlDrHUA==">CgMxLjA4AHIhMXU4M1BhQmJJWV9GVjBuZmhjaldQc0pGSE55MjdRQW5y</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2026-09-29T15:43:00Z</dcterms:created>
  <dc:creator>Sergat</dc:creator>
</cp:coreProperties>
</file>