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A5748" w14:textId="77777777" w:rsidR="00C118EE" w:rsidRPr="00654D84" w:rsidRDefault="00C118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  <w:lang w:val="pt-PT"/>
        </w:rPr>
      </w:pPr>
    </w:p>
    <w:tbl>
      <w:tblPr>
        <w:tblStyle w:val="a"/>
        <w:tblpPr w:vertAnchor="page" w:horzAnchor="margin" w:tblpY="2949"/>
        <w:tblW w:w="28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35"/>
      </w:tblGrid>
      <w:tr w:rsidR="00C118EE" w:rsidRPr="00654D84" w14:paraId="01BF3A66" w14:textId="77777777">
        <w:trPr>
          <w:trHeight w:val="238"/>
        </w:trPr>
        <w:tc>
          <w:tcPr>
            <w:tcW w:w="2835" w:type="dxa"/>
          </w:tcPr>
          <w:p w14:paraId="23334A89" w14:textId="5D2FF2E2" w:rsidR="00C118EE" w:rsidRPr="00654D84" w:rsidRDefault="001471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0033"/>
                <w:sz w:val="21"/>
                <w:szCs w:val="21"/>
                <w:lang w:val="pt-PT"/>
              </w:rPr>
            </w:pPr>
            <w:r w:rsidRPr="0065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0033"/>
                <w:sz w:val="21"/>
                <w:szCs w:val="21"/>
                <w:lang w:val="pt-PT"/>
              </w:rPr>
              <w:t xml:space="preserve"> Nota de </w:t>
            </w:r>
            <w:r w:rsidR="00255D25" w:rsidRPr="0065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0033"/>
                <w:sz w:val="21"/>
                <w:szCs w:val="21"/>
                <w:lang w:val="pt-PT"/>
              </w:rPr>
              <w:t>im</w:t>
            </w:r>
            <w:r w:rsidRPr="0065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50033"/>
                <w:sz w:val="21"/>
                <w:szCs w:val="21"/>
                <w:lang w:val="pt-PT"/>
              </w:rPr>
              <w:t>prensa</w:t>
            </w:r>
          </w:p>
        </w:tc>
      </w:tr>
      <w:tr w:rsidR="00C118EE" w:rsidRPr="00654D84" w14:paraId="6B79EDCF" w14:textId="77777777">
        <w:trPr>
          <w:trHeight w:val="34"/>
        </w:trPr>
        <w:tc>
          <w:tcPr>
            <w:tcW w:w="2835" w:type="dxa"/>
          </w:tcPr>
          <w:p w14:paraId="202FF941" w14:textId="77777777" w:rsidR="00C118EE" w:rsidRPr="00654D84" w:rsidRDefault="00C118EE">
            <w:pPr>
              <w:rPr>
                <w:lang w:val="pt-PT"/>
              </w:rPr>
            </w:pPr>
          </w:p>
        </w:tc>
      </w:tr>
      <w:tr w:rsidR="00C118EE" w:rsidRPr="00654D84" w14:paraId="375942F8" w14:textId="77777777">
        <w:trPr>
          <w:trHeight w:val="34"/>
        </w:trPr>
        <w:tc>
          <w:tcPr>
            <w:tcW w:w="2835" w:type="dxa"/>
          </w:tcPr>
          <w:p w14:paraId="3FA4FBB6" w14:textId="77777777" w:rsidR="00C118EE" w:rsidRPr="00654D84" w:rsidRDefault="00C118EE">
            <w:pPr>
              <w:rPr>
                <w:lang w:val="pt-PT"/>
              </w:rPr>
            </w:pPr>
          </w:p>
        </w:tc>
      </w:tr>
      <w:tr w:rsidR="00C118EE" w:rsidRPr="00654D84" w14:paraId="00073DBC" w14:textId="77777777">
        <w:trPr>
          <w:trHeight w:val="160"/>
        </w:trPr>
        <w:tc>
          <w:tcPr>
            <w:tcW w:w="2835" w:type="dxa"/>
          </w:tcPr>
          <w:p w14:paraId="766AF35D" w14:textId="66C19D06" w:rsidR="00C118EE" w:rsidRPr="00654D84" w:rsidRDefault="001471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50033"/>
                <w:sz w:val="10"/>
                <w:szCs w:val="10"/>
                <w:lang w:val="pt-PT"/>
              </w:rPr>
            </w:pPr>
            <w:r w:rsidRPr="00654D84">
              <w:rPr>
                <w:b/>
                <w:bCs/>
                <w:color w:val="050033"/>
                <w:sz w:val="10"/>
                <w:szCs w:val="10"/>
                <w:lang w:val="pt-PT"/>
              </w:rPr>
              <w:t>26 de o</w:t>
            </w:r>
            <w:r w:rsidR="00255D25" w:rsidRPr="00654D84">
              <w:rPr>
                <w:b/>
                <w:bCs/>
                <w:color w:val="050033"/>
                <w:sz w:val="10"/>
                <w:szCs w:val="10"/>
                <w:lang w:val="pt-PT"/>
              </w:rPr>
              <w:t>utubro</w:t>
            </w:r>
            <w:r w:rsidRPr="00654D84">
              <w:rPr>
                <w:b/>
                <w:bCs/>
                <w:color w:val="050033"/>
                <w:sz w:val="10"/>
                <w:szCs w:val="10"/>
                <w:lang w:val="pt-PT"/>
              </w:rPr>
              <w:t xml:space="preserve"> de 2026</w:t>
            </w:r>
          </w:p>
        </w:tc>
      </w:tr>
      <w:tr w:rsidR="00C118EE" w:rsidRPr="00654D84" w14:paraId="6B9E9C8C" w14:textId="77777777">
        <w:trPr>
          <w:trHeight w:val="160"/>
        </w:trPr>
        <w:tc>
          <w:tcPr>
            <w:tcW w:w="2835" w:type="dxa"/>
          </w:tcPr>
          <w:p w14:paraId="30D80E05" w14:textId="77777777" w:rsidR="00C118EE" w:rsidRPr="00654D84" w:rsidRDefault="00C1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50033"/>
                <w:sz w:val="10"/>
                <w:szCs w:val="10"/>
                <w:lang w:val="pt-PT"/>
              </w:rPr>
            </w:pPr>
          </w:p>
        </w:tc>
      </w:tr>
    </w:tbl>
    <w:p w14:paraId="3EE8A052" w14:textId="77777777" w:rsidR="00C118EE" w:rsidRPr="00654D84" w:rsidRDefault="00C118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i/>
          <w:iCs/>
          <w:color w:val="050033"/>
          <w:sz w:val="52"/>
          <w:szCs w:val="52"/>
          <w:lang w:val="pt-PT"/>
        </w:rPr>
      </w:pPr>
    </w:p>
    <w:p w14:paraId="7D5B2E32" w14:textId="7797A111" w:rsidR="00C118EE" w:rsidRPr="00654D84" w:rsidRDefault="00255D2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i/>
          <w:iCs/>
          <w:color w:val="050033"/>
          <w:sz w:val="52"/>
          <w:szCs w:val="52"/>
          <w:lang w:val="pt-PT"/>
        </w:rPr>
      </w:pPr>
      <w:r w:rsidRPr="00654D84">
        <w:rPr>
          <w:rFonts w:ascii="Times New Roman" w:eastAsia="Times New Roman" w:hAnsi="Times New Roman" w:cs="Times New Roman"/>
          <w:b/>
          <w:bCs/>
          <w:i/>
          <w:iCs/>
          <w:color w:val="050033"/>
          <w:sz w:val="52"/>
          <w:szCs w:val="52"/>
          <w:lang w:val="pt-PT"/>
        </w:rPr>
        <w:t>Novos viajantes e destinos irão transformar o panorama turístico europeu até 2036, de acordo com um novo relatório da Accor</w:t>
      </w:r>
    </w:p>
    <w:p w14:paraId="21737F28" w14:textId="77777777" w:rsidR="00594D16" w:rsidRPr="00654D84" w:rsidRDefault="00594D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i/>
          <w:iCs/>
          <w:color w:val="050033"/>
          <w:sz w:val="52"/>
          <w:szCs w:val="52"/>
          <w:lang w:val="pt-PT"/>
        </w:rPr>
      </w:pPr>
    </w:p>
    <w:p w14:paraId="303CBBC1" w14:textId="56938A83" w:rsidR="00C118EE" w:rsidRPr="00654D84" w:rsidRDefault="00255D25" w:rsidP="00594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A procura por alojamento turístico na Europa crescerá 32% até 2036</w:t>
      </w:r>
    </w:p>
    <w:p w14:paraId="24FBB09C" w14:textId="77777777" w:rsidR="00C118EE" w:rsidRPr="00654D84" w:rsidRDefault="00C118EE" w:rsidP="00594D16">
      <w:pPr>
        <w:pBdr>
          <w:top w:val="nil"/>
          <w:left w:val="nil"/>
          <w:bottom w:val="nil"/>
          <w:right w:val="nil"/>
          <w:between w:val="nil"/>
        </w:pBdr>
        <w:ind w:left="90"/>
        <w:rPr>
          <w:b/>
          <w:bCs/>
          <w:color w:val="74758C"/>
          <w:sz w:val="18"/>
          <w:szCs w:val="18"/>
          <w:lang w:val="pt-PT"/>
        </w:rPr>
      </w:pPr>
    </w:p>
    <w:p w14:paraId="7E25C6CA" w14:textId="7DD522B2" w:rsidR="00C118EE" w:rsidRPr="00654D84" w:rsidRDefault="00255D25" w:rsidP="00594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O turismo internacional crescerá quase duas vezes mais depressa do que a procura interna e gerará cerca de mil milhões de dormidas internacionais adicionais por ano</w:t>
      </w:r>
    </w:p>
    <w:p w14:paraId="2DDD3A36" w14:textId="77777777" w:rsidR="00483B1D" w:rsidRPr="00654D84" w:rsidRDefault="00483B1D" w:rsidP="00483B1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74758C"/>
          <w:sz w:val="18"/>
          <w:szCs w:val="18"/>
          <w:lang w:val="pt-PT"/>
        </w:rPr>
      </w:pPr>
    </w:p>
    <w:p w14:paraId="0A48389C" w14:textId="598D6A4E" w:rsidR="00C118EE" w:rsidRPr="00654D84" w:rsidRDefault="00255D25" w:rsidP="00594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A Ásia, o Médio Oriente e a Europa Central e Oriental destacam-se entre os mercados emissores com maior crescimento</w:t>
      </w:r>
    </w:p>
    <w:p w14:paraId="0FB06A81" w14:textId="77777777" w:rsidR="00C118EE" w:rsidRPr="00654D84" w:rsidRDefault="00C118EE" w:rsidP="00594D16">
      <w:pPr>
        <w:pBdr>
          <w:top w:val="nil"/>
          <w:left w:val="nil"/>
          <w:bottom w:val="nil"/>
          <w:right w:val="nil"/>
          <w:between w:val="nil"/>
        </w:pBdr>
        <w:ind w:left="90"/>
        <w:rPr>
          <w:b/>
          <w:bCs/>
          <w:color w:val="74758C"/>
          <w:sz w:val="18"/>
          <w:szCs w:val="18"/>
          <w:lang w:val="pt-PT"/>
        </w:rPr>
      </w:pPr>
    </w:p>
    <w:p w14:paraId="7DF28251" w14:textId="6B767346" w:rsidR="00C118EE" w:rsidRPr="00654D84" w:rsidRDefault="00255D25" w:rsidP="00594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 xml:space="preserve">Os gastos dos visitantes internacionais ultrapassarão os </w:t>
      </w:r>
      <w:r w:rsidR="00142159" w:rsidRPr="00142159">
        <w:rPr>
          <w:b/>
          <w:bCs/>
          <w:color w:val="74758C"/>
          <w:sz w:val="18"/>
          <w:szCs w:val="18"/>
          <w:lang w:val="pt-PT"/>
        </w:rPr>
        <w:t>1,3 mil milhões de euros</w:t>
      </w:r>
      <w:r w:rsidRPr="00654D84">
        <w:rPr>
          <w:b/>
          <w:bCs/>
          <w:color w:val="74758C"/>
          <w:sz w:val="18"/>
          <w:szCs w:val="18"/>
          <w:lang w:val="pt-PT"/>
        </w:rPr>
        <w:t xml:space="preserve"> na Europa até 2036</w:t>
      </w:r>
    </w:p>
    <w:p w14:paraId="5B7E6B1D" w14:textId="77777777" w:rsidR="00C118EE" w:rsidRPr="00654D84" w:rsidRDefault="00C118EE" w:rsidP="00594D16">
      <w:pPr>
        <w:pBdr>
          <w:top w:val="nil"/>
          <w:left w:val="nil"/>
          <w:bottom w:val="nil"/>
          <w:right w:val="nil"/>
          <w:between w:val="nil"/>
        </w:pBdr>
        <w:ind w:left="90"/>
        <w:rPr>
          <w:b/>
          <w:bCs/>
          <w:color w:val="74758C"/>
          <w:sz w:val="18"/>
          <w:szCs w:val="18"/>
          <w:lang w:val="pt-PT"/>
        </w:rPr>
      </w:pPr>
    </w:p>
    <w:p w14:paraId="1BE023F5" w14:textId="73D0EFA6" w:rsidR="00C118EE" w:rsidRPr="00654D84" w:rsidRDefault="00255D25" w:rsidP="00594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A Europa Central e Oriental, os países bálticos e parte dos Balcãs figuram entre os destinos com maior potencial de crescimento</w:t>
      </w:r>
    </w:p>
    <w:p w14:paraId="00D0417A" w14:textId="4C6C9568" w:rsidR="00C118EE" w:rsidRPr="00654D84" w:rsidRDefault="00C118EE" w:rsidP="00594D16">
      <w:pPr>
        <w:pBdr>
          <w:top w:val="nil"/>
          <w:left w:val="nil"/>
          <w:bottom w:val="nil"/>
          <w:right w:val="nil"/>
          <w:between w:val="nil"/>
        </w:pBdr>
        <w:ind w:left="90"/>
        <w:rPr>
          <w:b/>
          <w:bCs/>
          <w:color w:val="74758C"/>
          <w:sz w:val="18"/>
          <w:szCs w:val="18"/>
          <w:lang w:val="pt-PT"/>
        </w:rPr>
      </w:pPr>
    </w:p>
    <w:p w14:paraId="732E44C2" w14:textId="77777777" w:rsidR="00C118EE" w:rsidRPr="00654D84" w:rsidRDefault="00C118EE">
      <w:pPr>
        <w:jc w:val="center"/>
        <w:rPr>
          <w:color w:val="74758C"/>
          <w:lang w:val="pt-PT"/>
        </w:rPr>
      </w:pPr>
    </w:p>
    <w:p w14:paraId="5110CD0C" w14:textId="77777777" w:rsidR="00C118EE" w:rsidRPr="00654D84" w:rsidRDefault="00C118EE">
      <w:pPr>
        <w:jc w:val="both"/>
        <w:rPr>
          <w:color w:val="74758C"/>
          <w:lang w:val="pt-PT"/>
        </w:rPr>
      </w:pPr>
    </w:p>
    <w:p w14:paraId="0B23D6B6" w14:textId="79E25A37" w:rsidR="00F7099C" w:rsidRPr="00654D84" w:rsidRDefault="00F7099C" w:rsidP="00DF1B1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 xml:space="preserve">O turismo europeu irá transformar-se ao longo da próxima década com a chegada de novos viajantes, o surgimento de novos destinos e a evolução dos padrões de procura, de acordo com um novo relatório da </w:t>
      </w:r>
      <w:hyperlink r:id="rId7" w:history="1">
        <w:r w:rsidRPr="00654D84">
          <w:rPr>
            <w:rStyle w:val="Hipervnculo"/>
            <w:sz w:val="20"/>
            <w:szCs w:val="20"/>
            <w:lang w:val="pt-PT"/>
          </w:rPr>
          <w:t>Accor</w:t>
        </w:r>
      </w:hyperlink>
      <w:r w:rsidRPr="00654D84">
        <w:rPr>
          <w:color w:val="74758C"/>
          <w:sz w:val="20"/>
          <w:szCs w:val="20"/>
          <w:lang w:val="pt-PT"/>
        </w:rPr>
        <w:t>, grupo hoteleiro líder mundial.</w:t>
      </w:r>
    </w:p>
    <w:p w14:paraId="45419995" w14:textId="77777777" w:rsidR="00F7099C" w:rsidRPr="00654D84" w:rsidRDefault="00F7099C" w:rsidP="00DF1B1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</w:p>
    <w:p w14:paraId="709D209D" w14:textId="665EDEAF" w:rsidR="00DF1B13" w:rsidRPr="00654D84" w:rsidRDefault="00B76B7C" w:rsidP="00DF1B1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 xml:space="preserve">O relatório¹, elaborado com base em previsões da </w:t>
      </w:r>
      <w:hyperlink r:id="rId8" w:history="1">
        <w:proofErr w:type="spellStart"/>
        <w:r w:rsidRPr="00654D84">
          <w:rPr>
            <w:rStyle w:val="Hipervnculo"/>
            <w:sz w:val="20"/>
            <w:szCs w:val="20"/>
            <w:lang w:val="pt-PT"/>
          </w:rPr>
          <w:t>Tourism</w:t>
        </w:r>
        <w:proofErr w:type="spellEnd"/>
        <w:r w:rsidRPr="00654D84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654D84">
          <w:rPr>
            <w:rStyle w:val="Hipervnculo"/>
            <w:sz w:val="20"/>
            <w:szCs w:val="20"/>
            <w:lang w:val="pt-PT"/>
          </w:rPr>
          <w:t>Economics</w:t>
        </w:r>
        <w:proofErr w:type="spellEnd"/>
      </w:hyperlink>
      <w:r w:rsidRPr="00654D84">
        <w:rPr>
          <w:color w:val="74758C"/>
          <w:sz w:val="20"/>
          <w:szCs w:val="20"/>
          <w:lang w:val="pt-PT"/>
        </w:rPr>
        <w:t xml:space="preserve"> (Oxford </w:t>
      </w:r>
      <w:proofErr w:type="spellStart"/>
      <w:r w:rsidRPr="00654D84">
        <w:rPr>
          <w:color w:val="74758C"/>
          <w:sz w:val="20"/>
          <w:szCs w:val="20"/>
          <w:lang w:val="pt-PT"/>
        </w:rPr>
        <w:t>Economics</w:t>
      </w:r>
      <w:proofErr w:type="spellEnd"/>
      <w:r w:rsidRPr="00654D84">
        <w:rPr>
          <w:color w:val="74758C"/>
          <w:sz w:val="20"/>
          <w:szCs w:val="20"/>
          <w:lang w:val="pt-PT"/>
        </w:rPr>
        <w:t>) solicitadas pela Accor, estima que a procura de alojamento turístico na Europa crescerá 32% nos próximos dez anos, o que representará mais de 1</w:t>
      </w:r>
      <w:r w:rsidR="00142159">
        <w:rPr>
          <w:color w:val="74758C"/>
          <w:sz w:val="20"/>
          <w:szCs w:val="20"/>
          <w:lang w:val="pt-PT"/>
        </w:rPr>
        <w:t>.</w:t>
      </w:r>
      <w:r w:rsidRPr="00654D84">
        <w:rPr>
          <w:color w:val="74758C"/>
          <w:sz w:val="20"/>
          <w:szCs w:val="20"/>
          <w:lang w:val="pt-PT"/>
        </w:rPr>
        <w:t>600 milhões de dormidas adicionais por ano</w:t>
      </w:r>
      <w:r w:rsidR="000E3483">
        <w:rPr>
          <w:color w:val="74758C"/>
          <w:sz w:val="20"/>
          <w:szCs w:val="20"/>
          <w:lang w:val="pt-PT"/>
        </w:rPr>
        <w:t>.</w:t>
      </w:r>
    </w:p>
    <w:p w14:paraId="1A465F62" w14:textId="77777777" w:rsidR="00B75A0C" w:rsidRPr="00654D84" w:rsidRDefault="00B75A0C" w:rsidP="00DF1B1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</w:p>
    <w:p w14:paraId="76F1D2DB" w14:textId="4DD9788F" w:rsidR="00B76B7C" w:rsidRPr="00654D84" w:rsidRDefault="00B76B7C" w:rsidP="00DF1B1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lastRenderedPageBreak/>
        <w:t>O turismo internacional irá impulsionar este crescimento. As dormidas internacionais aumentarão 42% entre 2026 e 2036, em comparação com o crescimento de 24% previsto para as viagens nacionais, o que irá gerar aproximadamente mil milhões de dormidas internacionais adicionais por ano na Europa.</w:t>
      </w:r>
    </w:p>
    <w:p w14:paraId="4BA41C58" w14:textId="77777777" w:rsidR="002F2753" w:rsidRPr="00654D84" w:rsidRDefault="002F2753" w:rsidP="00DF1B13">
      <w:pPr>
        <w:spacing w:line="360" w:lineRule="auto"/>
        <w:jc w:val="both"/>
        <w:rPr>
          <w:color w:val="74758C"/>
          <w:lang w:val="pt-PT"/>
        </w:rPr>
      </w:pPr>
    </w:p>
    <w:p w14:paraId="743E77D5" w14:textId="7630FC33" w:rsidR="00B76B7C" w:rsidRPr="00654D84" w:rsidRDefault="00B76B7C" w:rsidP="00DF1B1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>O relatório destaca que o aumento da prosperidade mundial, a maior mobilidade internacional, a melhoria da conectividade e o investimento contínuo em infraestruturas turísticas estão a contribuir para atrair mais viajantes internacionais a destinos em todo o continente, para além dos enclaves turísticos tradicionais.</w:t>
      </w:r>
    </w:p>
    <w:p w14:paraId="4C90D4BE" w14:textId="77777777" w:rsidR="00C118EE" w:rsidRPr="00654D84" w:rsidRDefault="00C118EE">
      <w:pPr>
        <w:spacing w:line="360" w:lineRule="auto"/>
        <w:jc w:val="both"/>
        <w:rPr>
          <w:color w:val="74758C"/>
          <w:lang w:val="pt-PT"/>
        </w:rPr>
      </w:pPr>
    </w:p>
    <w:p w14:paraId="7A1EF4B3" w14:textId="201F7C86" w:rsidR="00C118EE" w:rsidRPr="00654D84" w:rsidRDefault="00B76B7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b/>
          <w:bCs/>
          <w:color w:val="74758C"/>
          <w:sz w:val="20"/>
          <w:szCs w:val="20"/>
          <w:lang w:val="pt-PT"/>
        </w:rPr>
        <w:t>Ásia, Médio Oriente e Europa Central e Oriental, entre os mercados emissores com maior crescimento</w:t>
      </w:r>
    </w:p>
    <w:p w14:paraId="644687AB" w14:textId="0E1D4C57" w:rsidR="00376E0F" w:rsidRPr="00654D84" w:rsidRDefault="00376E0F" w:rsidP="0068380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>O turismo europeu continuará a depender fortemente das viagens dentro do próprio continente: até 2036, mais de três quartos das chegadas internacionais (77%) serão provenientes de outros países europeus.</w:t>
      </w:r>
    </w:p>
    <w:p w14:paraId="1EF70BAA" w14:textId="77777777" w:rsidR="0068380C" w:rsidRPr="00654D84" w:rsidRDefault="0068380C" w:rsidP="0068380C">
      <w:pPr>
        <w:spacing w:line="360" w:lineRule="auto"/>
        <w:jc w:val="both"/>
        <w:rPr>
          <w:color w:val="74758C"/>
          <w:lang w:val="pt-PT"/>
        </w:rPr>
      </w:pPr>
    </w:p>
    <w:p w14:paraId="2DF09F2F" w14:textId="2AE5ADCD" w:rsidR="00376E0F" w:rsidRPr="00654D84" w:rsidRDefault="00376E0F" w:rsidP="0068380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>N</w:t>
      </w:r>
      <w:r w:rsidR="009E6F54" w:rsidRPr="00654D84">
        <w:rPr>
          <w:color w:val="74758C"/>
          <w:sz w:val="20"/>
          <w:szCs w:val="20"/>
          <w:lang w:val="pt-PT"/>
        </w:rPr>
        <w:t>ão obstante</w:t>
      </w:r>
      <w:r w:rsidRPr="00654D84">
        <w:rPr>
          <w:color w:val="74758C"/>
          <w:sz w:val="20"/>
          <w:szCs w:val="20"/>
          <w:lang w:val="pt-PT"/>
        </w:rPr>
        <w:t>, o relatório destaca o rápido crescimento dos mercados emissores europeus emergentes. Prevê-se que as chegadas provenientes destes países aumentem 52% durante a próxima década, em comparação com o crescimento de 34% dos mercados da Europa Ocidental. A Geórgia (+123%), a Moldávia (+107%) e a Arménia (+76%) figuram entre os mercados com maior crescimento.</w:t>
      </w:r>
    </w:p>
    <w:p w14:paraId="39602EF5" w14:textId="77777777" w:rsidR="001B25C9" w:rsidRPr="00654D84" w:rsidRDefault="001B25C9" w:rsidP="0068380C">
      <w:pPr>
        <w:spacing w:line="360" w:lineRule="auto"/>
        <w:jc w:val="both"/>
        <w:rPr>
          <w:color w:val="74758C"/>
          <w:lang w:val="pt-PT"/>
        </w:rPr>
      </w:pPr>
    </w:p>
    <w:p w14:paraId="5F245BEA" w14:textId="0DF33457" w:rsidR="00E87765" w:rsidRDefault="009E6F54" w:rsidP="0068380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>A procura de viagens de longa distância também irá crescer significativamente. Prevê-se que as chegadas provenientes do Médio Oriente aumentem 93% e as da Ásia-Pacífico 88% nos próximos dez anos. Entre os principais mercados emissores não europeus, a China (+138%) e a Coreia do Sul (+121%) registarão um crescimento notável.</w:t>
      </w:r>
    </w:p>
    <w:p w14:paraId="0795F0CF" w14:textId="77777777" w:rsidR="00E87765" w:rsidRPr="00E87765" w:rsidRDefault="00E87765" w:rsidP="0068380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</w:p>
    <w:p w14:paraId="04F8F7F6" w14:textId="77777777" w:rsidR="00E226B2" w:rsidRDefault="009E6F54" w:rsidP="00B75A0C">
      <w:pPr>
        <w:spacing w:line="360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654D84">
        <w:rPr>
          <w:b/>
          <w:bCs/>
          <w:color w:val="74758C"/>
          <w:sz w:val="20"/>
          <w:szCs w:val="20"/>
          <w:lang w:val="pt-PT"/>
        </w:rPr>
        <w:t>O crescimento irá além dos destinos turísticos tradicionais</w:t>
      </w:r>
    </w:p>
    <w:p w14:paraId="67FC6D52" w14:textId="1B50C742" w:rsidR="009E6F54" w:rsidRPr="00654D84" w:rsidRDefault="009E6F54" w:rsidP="00B75A0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lastRenderedPageBreak/>
        <w:t xml:space="preserve">Embora destinos estabelecidos como Espanha, França e Reino Unido continuem a ser referências para o turismo europeu, algumas das taxas de crescimento mais elevadas </w:t>
      </w:r>
      <w:r w:rsidR="00142159">
        <w:rPr>
          <w:color w:val="74758C"/>
          <w:sz w:val="20"/>
          <w:szCs w:val="20"/>
          <w:lang w:val="pt-PT"/>
        </w:rPr>
        <w:t>registar-se-ão</w:t>
      </w:r>
      <w:r w:rsidRPr="00654D84">
        <w:rPr>
          <w:color w:val="74758C"/>
          <w:sz w:val="20"/>
          <w:szCs w:val="20"/>
          <w:lang w:val="pt-PT"/>
        </w:rPr>
        <w:t xml:space="preserve"> fora dos destinos turísticos tradicionais.</w:t>
      </w:r>
    </w:p>
    <w:p w14:paraId="30832945" w14:textId="77777777" w:rsidR="003255A9" w:rsidRPr="00654D84" w:rsidRDefault="003255A9" w:rsidP="00D23A88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</w:p>
    <w:p w14:paraId="1084E943" w14:textId="7704169E" w:rsidR="009E6F54" w:rsidRPr="00654D84" w:rsidRDefault="009E6F54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>Prevê-se que os países da Europa Central e Oriental, os países bálticos e algumas zonas dos Balcãs ultrapassem amplamente a média europeia em termos de crescimento do turismo internacional. A melhoria da conectividade e o interesse dos viajantes por novas experiências a preços acessíveis estão a criar oportunidades para investidores, promotores e proprietários de hotéis em mercados que se encontram em fases mais iniciais de desenvolvimento turístico</w:t>
      </w:r>
    </w:p>
    <w:p w14:paraId="7500B820" w14:textId="77777777" w:rsidR="00F87D93" w:rsidRPr="00654D84" w:rsidRDefault="00F87D93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</w:p>
    <w:p w14:paraId="094B5C81" w14:textId="43FFE2C1" w:rsidR="00C118EE" w:rsidRPr="00654D84" w:rsidRDefault="009E6F54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b/>
          <w:bCs/>
          <w:color w:val="74758C"/>
          <w:sz w:val="20"/>
          <w:szCs w:val="20"/>
          <w:lang w:val="pt-PT"/>
        </w:rPr>
        <w:t>A hotelaria económica, perante uma oportunidade de crescimento</w:t>
      </w:r>
    </w:p>
    <w:p w14:paraId="391989A3" w14:textId="411581CE" w:rsidR="000E278C" w:rsidRPr="008C7F4B" w:rsidRDefault="009E6F54" w:rsidP="000E278C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color w:val="74758C"/>
          <w:sz w:val="20"/>
          <w:szCs w:val="20"/>
          <w:lang w:val="pt-PT"/>
        </w:rPr>
        <w:t xml:space="preserve">O relatório identifica uma oportunidade significativa para </w:t>
      </w:r>
      <w:r w:rsidR="00CC6D5B" w:rsidRPr="00654D84">
        <w:rPr>
          <w:color w:val="74758C"/>
          <w:sz w:val="20"/>
          <w:szCs w:val="20"/>
          <w:lang w:val="pt-PT"/>
        </w:rPr>
        <w:t>a hotelaria</w:t>
      </w:r>
      <w:r w:rsidRPr="00654D84">
        <w:rPr>
          <w:color w:val="74758C"/>
          <w:sz w:val="20"/>
          <w:szCs w:val="20"/>
          <w:lang w:val="pt-PT"/>
        </w:rPr>
        <w:t xml:space="preserve"> económic</w:t>
      </w:r>
      <w:r w:rsidR="00CC6D5B" w:rsidRPr="00654D84">
        <w:rPr>
          <w:color w:val="74758C"/>
          <w:sz w:val="20"/>
          <w:szCs w:val="20"/>
          <w:lang w:val="pt-PT"/>
        </w:rPr>
        <w:t>a</w:t>
      </w:r>
      <w:r w:rsidRPr="00654D84">
        <w:rPr>
          <w:color w:val="74758C"/>
          <w:sz w:val="20"/>
          <w:szCs w:val="20"/>
          <w:lang w:val="pt-PT"/>
        </w:rPr>
        <w:t>, à medida que as viagens internacionais se tornam acessíveis a um grupo mais vasto e diversificado de consumidores. Muitos destes novos viajantes</w:t>
      </w:r>
      <w:r w:rsidR="00CC6D5B" w:rsidRPr="00654D84">
        <w:rPr>
          <w:color w:val="74758C"/>
          <w:sz w:val="20"/>
          <w:szCs w:val="20"/>
          <w:lang w:val="pt-PT"/>
        </w:rPr>
        <w:t xml:space="preserve">, </w:t>
      </w:r>
      <w:r w:rsidRPr="00654D84">
        <w:rPr>
          <w:color w:val="74758C"/>
          <w:sz w:val="20"/>
          <w:szCs w:val="20"/>
          <w:lang w:val="pt-PT"/>
        </w:rPr>
        <w:t>tanto os visitantes de longa distância provenientes de mercados em rápido crescimento, como a China e a Índia, como os provenientes de economias europeias emergentes com rendimentos mais elevados e melhor conectividade</w:t>
      </w:r>
      <w:r w:rsidR="00CC6D5B" w:rsidRPr="00654D84">
        <w:rPr>
          <w:color w:val="74758C"/>
          <w:sz w:val="20"/>
          <w:szCs w:val="20"/>
          <w:lang w:val="pt-PT"/>
        </w:rPr>
        <w:t xml:space="preserve">, </w:t>
      </w:r>
      <w:r w:rsidRPr="00654D84">
        <w:rPr>
          <w:color w:val="74758C"/>
          <w:sz w:val="20"/>
          <w:szCs w:val="20"/>
          <w:lang w:val="pt-PT"/>
        </w:rPr>
        <w:t xml:space="preserve">recorrem a marcas económicas de confiança quando se </w:t>
      </w:r>
      <w:r w:rsidR="00142159">
        <w:rPr>
          <w:color w:val="74758C"/>
          <w:sz w:val="20"/>
          <w:szCs w:val="20"/>
          <w:lang w:val="pt-PT"/>
        </w:rPr>
        <w:t>movimentam</w:t>
      </w:r>
      <w:r w:rsidRPr="00654D84">
        <w:rPr>
          <w:color w:val="74758C"/>
          <w:sz w:val="20"/>
          <w:szCs w:val="20"/>
          <w:lang w:val="pt-PT"/>
        </w:rPr>
        <w:t xml:space="preserve"> </w:t>
      </w:r>
      <w:r w:rsidR="00CC6D5B" w:rsidRPr="00654D84">
        <w:rPr>
          <w:color w:val="74758C"/>
          <w:sz w:val="20"/>
          <w:szCs w:val="20"/>
          <w:lang w:val="pt-PT"/>
        </w:rPr>
        <w:t>em</w:t>
      </w:r>
      <w:r w:rsidRPr="00654D84">
        <w:rPr>
          <w:color w:val="74758C"/>
          <w:sz w:val="20"/>
          <w:szCs w:val="20"/>
          <w:lang w:val="pt-PT"/>
        </w:rPr>
        <w:t xml:space="preserve"> cidades, línguas e plataformas de reserva que não conhecem.</w:t>
      </w:r>
    </w:p>
    <w:p w14:paraId="28D9D3FC" w14:textId="1F7E086A" w:rsidR="008C7F4B" w:rsidRPr="008C7F4B" w:rsidRDefault="008C7F4B" w:rsidP="008C7F4B">
      <w:pPr>
        <w:spacing w:before="100" w:beforeAutospacing="1" w:after="160" w:line="360" w:lineRule="auto"/>
        <w:jc w:val="both"/>
        <w:rPr>
          <w:color w:val="74758C"/>
          <w:sz w:val="20"/>
          <w:szCs w:val="20"/>
          <w:lang w:val="pt-PT"/>
        </w:rPr>
      </w:pPr>
      <w:r>
        <w:rPr>
          <w:color w:val="74758C"/>
          <w:sz w:val="20"/>
          <w:szCs w:val="20"/>
          <w:lang w:val="pt-PT"/>
        </w:rPr>
        <w:t>Antero Cardoso</w:t>
      </w:r>
      <w:r w:rsidR="00CC6D5B" w:rsidRPr="00654D84">
        <w:rPr>
          <w:color w:val="74758C"/>
          <w:sz w:val="20"/>
          <w:szCs w:val="20"/>
          <w:lang w:val="pt-PT"/>
        </w:rPr>
        <w:t xml:space="preserve">, Porta-voz da Accor em </w:t>
      </w:r>
      <w:r w:rsidR="00A43303">
        <w:rPr>
          <w:color w:val="74758C"/>
          <w:sz w:val="20"/>
          <w:szCs w:val="20"/>
          <w:lang w:val="pt-PT"/>
        </w:rPr>
        <w:t>Portugal</w:t>
      </w:r>
      <w:r w:rsidR="00CC6D5B" w:rsidRPr="00654D84">
        <w:rPr>
          <w:color w:val="74758C"/>
          <w:sz w:val="20"/>
          <w:szCs w:val="20"/>
          <w:lang w:val="pt-PT"/>
        </w:rPr>
        <w:t xml:space="preserve">, </w:t>
      </w:r>
      <w:r>
        <w:rPr>
          <w:color w:val="74758C"/>
          <w:sz w:val="20"/>
          <w:szCs w:val="20"/>
          <w:lang w:val="pt-PT"/>
        </w:rPr>
        <w:t>afirmou</w:t>
      </w:r>
      <w:r w:rsidR="00CC6D5B" w:rsidRPr="00654D84">
        <w:rPr>
          <w:color w:val="74758C"/>
          <w:sz w:val="20"/>
          <w:szCs w:val="20"/>
          <w:lang w:val="pt-PT"/>
        </w:rPr>
        <w:t>:</w:t>
      </w:r>
      <w:r>
        <w:rPr>
          <w:color w:val="74758C"/>
          <w:sz w:val="20"/>
          <w:szCs w:val="20"/>
          <w:lang w:val="pt-PT"/>
        </w:rPr>
        <w:t xml:space="preserve"> </w:t>
      </w:r>
      <w:r w:rsidRPr="008C7F4B">
        <w:rPr>
          <w:rFonts w:ascii="Aptos" w:eastAsia="Times New Roman" w:hAnsi="Aptos" w:cs="Times New Roman"/>
          <w:i/>
          <w:iCs/>
          <w:color w:val="000000"/>
          <w:sz w:val="22"/>
          <w:szCs w:val="22"/>
          <w:lang w:val="en-GB"/>
        </w:rPr>
        <w:t>"</w:t>
      </w:r>
      <w:r w:rsidRPr="008C7F4B">
        <w:rPr>
          <w:color w:val="74758C"/>
          <w:sz w:val="20"/>
          <w:szCs w:val="20"/>
          <w:lang w:val="pt-PT"/>
        </w:rPr>
        <w:t>A Europa continua a ser o destino mais desejável do mundo devido à sua extraordinária diversidade. O setor hoteleiro tem todas as razões para estar confiante em relação ao seu futuro. Poucos locais conseguem oferecer uma combinação tão rica de culturas, paisagens, cidades, litorais, património, gastronomia e experiências numa geografia tão interligada e acessível.</w:t>
      </w:r>
    </w:p>
    <w:p w14:paraId="4B099382" w14:textId="65A6ACD4" w:rsidR="00C118EE" w:rsidRPr="00654D84" w:rsidRDefault="008C7F4B" w:rsidP="008C7F4B">
      <w:pPr>
        <w:spacing w:before="100" w:beforeAutospacing="1" w:after="160" w:line="360" w:lineRule="auto"/>
        <w:jc w:val="both"/>
        <w:rPr>
          <w:color w:val="74758C"/>
          <w:sz w:val="20"/>
          <w:szCs w:val="20"/>
          <w:lang w:val="pt-PT"/>
        </w:rPr>
      </w:pPr>
      <w:r w:rsidRPr="008C7F4B">
        <w:rPr>
          <w:color w:val="74758C"/>
          <w:sz w:val="20"/>
          <w:szCs w:val="20"/>
          <w:lang w:val="pt-PT"/>
        </w:rPr>
        <w:t xml:space="preserve">Embora os mercados turísticos consolidados continuem a prosperar, a próxima década de crescimento será moldada por novos viajantes, novos destinos e novos padrões de procura, à medida que os viajantes procuram locais e experiências diferentes. Os negócios que mais beneficiarão serão os que compreenderem e se </w:t>
      </w:r>
      <w:r w:rsidRPr="008C7F4B">
        <w:rPr>
          <w:color w:val="74758C"/>
          <w:sz w:val="20"/>
          <w:szCs w:val="20"/>
          <w:lang w:val="pt-PT"/>
        </w:rPr>
        <w:lastRenderedPageBreak/>
        <w:t>conseguirem adaptar a essas mudanças de forma mais eficaz, para responder à procura em constante evolução."</w:t>
      </w:r>
    </w:p>
    <w:p w14:paraId="5D57D39F" w14:textId="66F0E229" w:rsidR="00C118EE" w:rsidRPr="00654D84" w:rsidRDefault="003F7948" w:rsidP="00947D8E">
      <w:pPr>
        <w:spacing w:line="360" w:lineRule="auto"/>
        <w:jc w:val="both"/>
        <w:rPr>
          <w:color w:val="74758C"/>
          <w:sz w:val="20"/>
          <w:szCs w:val="20"/>
          <w:lang w:val="pt-PT"/>
        </w:rPr>
      </w:pPr>
      <w:r w:rsidRPr="00654D84">
        <w:rPr>
          <w:b/>
          <w:bCs/>
          <w:color w:val="74758C"/>
          <w:sz w:val="20"/>
          <w:szCs w:val="20"/>
          <w:lang w:val="pt-PT"/>
        </w:rPr>
        <w:t>Outras conclusões do relatório</w:t>
      </w:r>
    </w:p>
    <w:p w14:paraId="7BAA627E" w14:textId="5EB2C6F4" w:rsidR="00C118EE" w:rsidRPr="00654D84" w:rsidRDefault="003F7948" w:rsidP="004570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jc w:val="both"/>
        <w:rPr>
          <w:color w:val="74758C"/>
          <w:sz w:val="18"/>
          <w:szCs w:val="18"/>
          <w:lang w:val="pt-PT"/>
        </w:rPr>
      </w:pPr>
      <w:r w:rsidRPr="00654D84">
        <w:rPr>
          <w:color w:val="74758C"/>
          <w:sz w:val="18"/>
          <w:szCs w:val="18"/>
          <w:lang w:val="pt-PT"/>
        </w:rPr>
        <w:t>Os gastos dos turistas internacionais na Europa aumentarão de 825</w:t>
      </w:r>
      <w:r w:rsidR="00142159">
        <w:rPr>
          <w:color w:val="74758C"/>
          <w:sz w:val="18"/>
          <w:szCs w:val="18"/>
          <w:lang w:val="pt-PT"/>
        </w:rPr>
        <w:t>.</w:t>
      </w:r>
      <w:r w:rsidRPr="00654D84">
        <w:rPr>
          <w:color w:val="74758C"/>
          <w:sz w:val="18"/>
          <w:szCs w:val="18"/>
          <w:lang w:val="pt-PT"/>
        </w:rPr>
        <w:t xml:space="preserve">000 milhões de euros em 2026 para mais de </w:t>
      </w:r>
      <w:r w:rsidR="00976575" w:rsidRPr="00976575">
        <w:rPr>
          <w:color w:val="74758C"/>
          <w:sz w:val="18"/>
          <w:szCs w:val="18"/>
          <w:lang w:val="pt-PT"/>
        </w:rPr>
        <w:t>1,3 mil milhões de euros</w:t>
      </w:r>
      <w:r w:rsidRPr="00654D84">
        <w:rPr>
          <w:color w:val="74758C"/>
          <w:sz w:val="18"/>
          <w:szCs w:val="18"/>
          <w:lang w:val="pt-PT"/>
        </w:rPr>
        <w:t xml:space="preserve"> em 2036 (+64%). Os gastos </w:t>
      </w:r>
      <w:proofErr w:type="gramStart"/>
      <w:r w:rsidRPr="00654D84">
        <w:rPr>
          <w:color w:val="74758C"/>
          <w:sz w:val="18"/>
          <w:szCs w:val="18"/>
          <w:lang w:val="pt-PT"/>
        </w:rPr>
        <w:t>com  restauração</w:t>
      </w:r>
      <w:proofErr w:type="gramEnd"/>
      <w:r w:rsidRPr="00654D84">
        <w:rPr>
          <w:color w:val="74758C"/>
          <w:sz w:val="18"/>
          <w:szCs w:val="18"/>
          <w:lang w:val="pt-PT"/>
        </w:rPr>
        <w:t xml:space="preserve"> crescerão 72%, </w:t>
      </w:r>
      <w:r w:rsidR="00976575">
        <w:rPr>
          <w:color w:val="74758C"/>
          <w:sz w:val="18"/>
          <w:szCs w:val="18"/>
          <w:lang w:val="pt-PT"/>
        </w:rPr>
        <w:t>com</w:t>
      </w:r>
      <w:r w:rsidRPr="00654D84">
        <w:rPr>
          <w:color w:val="74758C"/>
          <w:sz w:val="18"/>
          <w:szCs w:val="18"/>
          <w:lang w:val="pt-PT"/>
        </w:rPr>
        <w:t xml:space="preserve"> comércio 69% e </w:t>
      </w:r>
      <w:r w:rsidR="00976575">
        <w:rPr>
          <w:color w:val="74758C"/>
          <w:sz w:val="18"/>
          <w:szCs w:val="18"/>
          <w:lang w:val="pt-PT"/>
        </w:rPr>
        <w:t>com</w:t>
      </w:r>
      <w:r w:rsidRPr="00654D84">
        <w:rPr>
          <w:color w:val="74758C"/>
          <w:sz w:val="18"/>
          <w:szCs w:val="18"/>
          <w:lang w:val="pt-PT"/>
        </w:rPr>
        <w:t xml:space="preserve"> lazer, cultura e desporto 66%.</w:t>
      </w:r>
    </w:p>
    <w:p w14:paraId="501D2FCD" w14:textId="77777777" w:rsidR="00DF1496" w:rsidRPr="00654D84" w:rsidRDefault="00DF1496" w:rsidP="00457047">
      <w:pPr>
        <w:pBdr>
          <w:top w:val="nil"/>
          <w:left w:val="nil"/>
          <w:bottom w:val="nil"/>
          <w:right w:val="nil"/>
          <w:between w:val="nil"/>
        </w:pBdr>
        <w:ind w:left="90"/>
        <w:jc w:val="both"/>
        <w:rPr>
          <w:color w:val="74758C"/>
          <w:sz w:val="18"/>
          <w:szCs w:val="18"/>
          <w:lang w:val="pt-PT"/>
        </w:rPr>
      </w:pPr>
    </w:p>
    <w:p w14:paraId="52918617" w14:textId="0B877A47" w:rsidR="00C118EE" w:rsidRPr="00654D84" w:rsidRDefault="003F7948" w:rsidP="004570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0" w:hanging="359"/>
        <w:jc w:val="both"/>
        <w:rPr>
          <w:color w:val="74758C"/>
          <w:sz w:val="18"/>
          <w:szCs w:val="18"/>
          <w:lang w:val="pt-PT"/>
        </w:rPr>
      </w:pPr>
      <w:r w:rsidRPr="00654D84">
        <w:rPr>
          <w:color w:val="74758C"/>
          <w:sz w:val="18"/>
          <w:szCs w:val="18"/>
          <w:lang w:val="pt-PT"/>
        </w:rPr>
        <w:t>As chegadas à Europa por motivos de negócio</w:t>
      </w:r>
      <w:r w:rsidR="00976575">
        <w:rPr>
          <w:color w:val="74758C"/>
          <w:sz w:val="18"/>
          <w:szCs w:val="18"/>
          <w:lang w:val="pt-PT"/>
        </w:rPr>
        <w:t>s</w:t>
      </w:r>
      <w:r w:rsidRPr="00654D84">
        <w:rPr>
          <w:color w:val="74758C"/>
          <w:sz w:val="18"/>
          <w:szCs w:val="18"/>
          <w:lang w:val="pt-PT"/>
        </w:rPr>
        <w:t xml:space="preserve"> crescerão 50%, contra 39% das chegadas por lazer, com um crescimento especialmente acentuado proveniente da Ásia-Pacífico (+118%) e do Médio Oriente (+112%).</w:t>
      </w:r>
    </w:p>
    <w:p w14:paraId="1B3E4D68" w14:textId="77777777" w:rsidR="00C118EE" w:rsidRPr="00654D84" w:rsidRDefault="00C118EE">
      <w:pPr>
        <w:jc w:val="both"/>
        <w:rPr>
          <w:color w:val="74758C"/>
          <w:sz w:val="22"/>
          <w:szCs w:val="22"/>
          <w:lang w:val="pt-PT"/>
        </w:rPr>
      </w:pPr>
    </w:p>
    <w:p w14:paraId="402C42DB" w14:textId="2626A0F8" w:rsidR="00C118EE" w:rsidRPr="00654D84" w:rsidRDefault="003F7948">
      <w:pPr>
        <w:jc w:val="both"/>
        <w:rPr>
          <w:color w:val="74758C"/>
          <w:lang w:val="pt-PT"/>
        </w:rPr>
      </w:pPr>
      <w:r w:rsidRPr="00654D84">
        <w:rPr>
          <w:color w:val="74758C"/>
          <w:lang w:val="pt-PT"/>
        </w:rPr>
        <w:t xml:space="preserve">O relatório completo, </w:t>
      </w:r>
      <w:proofErr w:type="spellStart"/>
      <w:r w:rsidRPr="00654D84">
        <w:rPr>
          <w:b/>
          <w:bCs/>
          <w:color w:val="74758C"/>
          <w:lang w:val="pt-PT"/>
        </w:rPr>
        <w:t>From</w:t>
      </w:r>
      <w:proofErr w:type="spellEnd"/>
      <w:r w:rsidRPr="00654D84">
        <w:rPr>
          <w:b/>
          <w:bCs/>
          <w:color w:val="74758C"/>
          <w:lang w:val="pt-PT"/>
        </w:rPr>
        <w:t xml:space="preserve"> </w:t>
      </w:r>
      <w:proofErr w:type="spellStart"/>
      <w:r w:rsidRPr="00654D84">
        <w:rPr>
          <w:b/>
          <w:bCs/>
          <w:color w:val="74758C"/>
          <w:lang w:val="pt-PT"/>
        </w:rPr>
        <w:t>Change</w:t>
      </w:r>
      <w:proofErr w:type="spellEnd"/>
      <w:r w:rsidRPr="00654D84">
        <w:rPr>
          <w:b/>
          <w:bCs/>
          <w:color w:val="74758C"/>
          <w:lang w:val="pt-PT"/>
        </w:rPr>
        <w:t xml:space="preserve"> To </w:t>
      </w:r>
      <w:proofErr w:type="spellStart"/>
      <w:r w:rsidRPr="00654D84">
        <w:rPr>
          <w:b/>
          <w:bCs/>
          <w:color w:val="74758C"/>
          <w:lang w:val="pt-PT"/>
        </w:rPr>
        <w:t>Opportunity</w:t>
      </w:r>
      <w:proofErr w:type="spellEnd"/>
      <w:r w:rsidRPr="00654D84">
        <w:rPr>
          <w:b/>
          <w:bCs/>
          <w:color w:val="74758C"/>
          <w:lang w:val="pt-PT"/>
        </w:rPr>
        <w:t xml:space="preserve"> - </w:t>
      </w:r>
      <w:proofErr w:type="spellStart"/>
      <w:r w:rsidRPr="00654D84">
        <w:rPr>
          <w:b/>
          <w:bCs/>
          <w:color w:val="74758C"/>
          <w:lang w:val="pt-PT"/>
        </w:rPr>
        <w:t>The</w:t>
      </w:r>
      <w:proofErr w:type="spellEnd"/>
      <w:r w:rsidRPr="00654D84">
        <w:rPr>
          <w:b/>
          <w:bCs/>
          <w:color w:val="74758C"/>
          <w:lang w:val="pt-PT"/>
        </w:rPr>
        <w:t xml:space="preserve"> </w:t>
      </w:r>
      <w:proofErr w:type="spellStart"/>
      <w:r w:rsidRPr="00654D84">
        <w:rPr>
          <w:b/>
          <w:bCs/>
          <w:color w:val="74758C"/>
          <w:lang w:val="pt-PT"/>
        </w:rPr>
        <w:t>Changing</w:t>
      </w:r>
      <w:proofErr w:type="spellEnd"/>
      <w:r w:rsidRPr="00654D84">
        <w:rPr>
          <w:b/>
          <w:bCs/>
          <w:color w:val="74758C"/>
          <w:lang w:val="pt-PT"/>
        </w:rPr>
        <w:t xml:space="preserve"> Face </w:t>
      </w:r>
      <w:proofErr w:type="spellStart"/>
      <w:r w:rsidRPr="00654D84">
        <w:rPr>
          <w:b/>
          <w:bCs/>
          <w:color w:val="74758C"/>
          <w:lang w:val="pt-PT"/>
        </w:rPr>
        <w:t>of</w:t>
      </w:r>
      <w:proofErr w:type="spellEnd"/>
      <w:r w:rsidRPr="00654D84">
        <w:rPr>
          <w:b/>
          <w:bCs/>
          <w:color w:val="74758C"/>
          <w:lang w:val="pt-PT"/>
        </w:rPr>
        <w:t xml:space="preserve"> </w:t>
      </w:r>
      <w:proofErr w:type="spellStart"/>
      <w:r w:rsidRPr="00654D84">
        <w:rPr>
          <w:b/>
          <w:bCs/>
          <w:color w:val="74758C"/>
          <w:lang w:val="pt-PT"/>
        </w:rPr>
        <w:t>Europe's</w:t>
      </w:r>
      <w:proofErr w:type="spellEnd"/>
      <w:r w:rsidRPr="00654D84">
        <w:rPr>
          <w:b/>
          <w:bCs/>
          <w:color w:val="74758C"/>
          <w:lang w:val="pt-PT"/>
        </w:rPr>
        <w:t xml:space="preserve"> </w:t>
      </w:r>
      <w:proofErr w:type="spellStart"/>
      <w:r w:rsidRPr="00654D84">
        <w:rPr>
          <w:b/>
          <w:bCs/>
          <w:color w:val="74758C"/>
          <w:lang w:val="pt-PT"/>
        </w:rPr>
        <w:t>Tourism</w:t>
      </w:r>
      <w:proofErr w:type="spellEnd"/>
      <w:r w:rsidRPr="00654D84">
        <w:rPr>
          <w:b/>
          <w:bCs/>
          <w:color w:val="74758C"/>
          <w:lang w:val="pt-PT"/>
        </w:rPr>
        <w:t xml:space="preserve"> </w:t>
      </w:r>
      <w:proofErr w:type="spellStart"/>
      <w:r w:rsidRPr="00654D84">
        <w:rPr>
          <w:b/>
          <w:bCs/>
          <w:color w:val="74758C"/>
          <w:lang w:val="pt-PT"/>
        </w:rPr>
        <w:t>Map</w:t>
      </w:r>
      <w:proofErr w:type="spellEnd"/>
      <w:r w:rsidRPr="00654D84">
        <w:rPr>
          <w:b/>
          <w:bCs/>
          <w:color w:val="74758C"/>
          <w:lang w:val="pt-PT"/>
        </w:rPr>
        <w:t xml:space="preserve"> to 2036</w:t>
      </w:r>
      <w:r w:rsidRPr="00654D84">
        <w:rPr>
          <w:color w:val="74758C"/>
          <w:lang w:val="pt-PT"/>
        </w:rPr>
        <w:t xml:space="preserve"> (em inglês), pode ser descarregado aqui: </w:t>
      </w:r>
      <w:hyperlink r:id="rId9" w:history="1">
        <w:r w:rsidR="00F87D93" w:rsidRPr="00654D84">
          <w:rPr>
            <w:rStyle w:val="Hipervnculo"/>
            <w:lang w:val="pt-PT"/>
          </w:rPr>
          <w:t>L</w:t>
        </w:r>
        <w:r w:rsidRPr="00654D84">
          <w:rPr>
            <w:rStyle w:val="Hipervnculo"/>
            <w:lang w:val="pt-PT"/>
          </w:rPr>
          <w:t>INK</w:t>
        </w:r>
        <w:r w:rsidR="00F87D93" w:rsidRPr="00654D84">
          <w:rPr>
            <w:rStyle w:val="Hipervnculo"/>
            <w:lang w:val="pt-PT"/>
          </w:rPr>
          <w:t>.</w:t>
        </w:r>
      </w:hyperlink>
    </w:p>
    <w:p w14:paraId="7D0DAE9C" w14:textId="77777777" w:rsidR="00C118EE" w:rsidRPr="00654D84" w:rsidRDefault="00C118EE">
      <w:pPr>
        <w:jc w:val="both"/>
        <w:rPr>
          <w:color w:val="74758C"/>
          <w:lang w:val="pt-PT"/>
        </w:rPr>
      </w:pPr>
    </w:p>
    <w:p w14:paraId="10F09BD3" w14:textId="2DA013CD" w:rsidR="00C118EE" w:rsidRPr="00654D84" w:rsidRDefault="003F7948" w:rsidP="003F7948">
      <w:pPr>
        <w:rPr>
          <w:lang w:val="pt-PT"/>
        </w:rPr>
      </w:pPr>
      <w:proofErr w:type="spellStart"/>
      <w:r w:rsidRPr="00654D84">
        <w:rPr>
          <w:color w:val="74758C"/>
          <w:u w:val="single"/>
          <w:lang w:val="pt-PT"/>
        </w:rPr>
        <w:t>From</w:t>
      </w:r>
      <w:proofErr w:type="spellEnd"/>
      <w:r w:rsidRPr="00654D84">
        <w:rPr>
          <w:color w:val="74758C"/>
          <w:u w:val="single"/>
          <w:lang w:val="pt-PT"/>
        </w:rPr>
        <w:t xml:space="preserve"> </w:t>
      </w:r>
      <w:proofErr w:type="spellStart"/>
      <w:r w:rsidRPr="00654D84">
        <w:rPr>
          <w:color w:val="74758C"/>
          <w:u w:val="single"/>
          <w:lang w:val="pt-PT"/>
        </w:rPr>
        <w:t>Change</w:t>
      </w:r>
      <w:proofErr w:type="spellEnd"/>
      <w:r w:rsidRPr="00654D84">
        <w:rPr>
          <w:color w:val="74758C"/>
          <w:u w:val="single"/>
          <w:lang w:val="pt-PT"/>
        </w:rPr>
        <w:t xml:space="preserve"> To </w:t>
      </w:r>
      <w:proofErr w:type="spellStart"/>
      <w:r w:rsidRPr="00654D84">
        <w:rPr>
          <w:color w:val="74758C"/>
          <w:u w:val="single"/>
          <w:lang w:val="pt-PT"/>
        </w:rPr>
        <w:t>Opportunity</w:t>
      </w:r>
      <w:proofErr w:type="spellEnd"/>
      <w:r w:rsidRPr="00654D84">
        <w:rPr>
          <w:color w:val="74758C"/>
          <w:lang w:val="pt-PT"/>
        </w:rPr>
        <w:t xml:space="preserve"> é a plataforma de análise e inteligência da Accor, que aprofunda os grandes temas e as forças que estão a transformar o futuro da hotelaria num mundo em constante mudança. Mais informações em</w:t>
      </w:r>
      <w:r w:rsidR="0014712B" w:rsidRPr="00654D84">
        <w:rPr>
          <w:color w:val="74758C"/>
          <w:lang w:val="pt-PT"/>
        </w:rPr>
        <w:t xml:space="preserve"> </w:t>
      </w:r>
      <w:hyperlink r:id="rId10">
        <w:r w:rsidR="00C118EE" w:rsidRPr="00654D84">
          <w:rPr>
            <w:color w:val="000000"/>
            <w:u w:val="single"/>
            <w:lang w:val="pt-PT"/>
          </w:rPr>
          <w:t>accor.com</w:t>
        </w:r>
      </w:hyperlink>
      <w:r w:rsidR="0014712B" w:rsidRPr="00654D84">
        <w:rPr>
          <w:color w:val="74758C"/>
          <w:lang w:val="pt-PT"/>
        </w:rPr>
        <w:t>.</w:t>
      </w:r>
    </w:p>
    <w:p w14:paraId="07391003" w14:textId="77777777" w:rsidR="00E226B2" w:rsidRDefault="00E226B2">
      <w:pPr>
        <w:jc w:val="center"/>
        <w:rPr>
          <w:color w:val="74758C"/>
          <w:lang w:val="pt-PT"/>
        </w:rPr>
      </w:pPr>
    </w:p>
    <w:p w14:paraId="79969895" w14:textId="5CC83228" w:rsidR="00C118EE" w:rsidRPr="00654D84" w:rsidRDefault="0014712B">
      <w:pPr>
        <w:jc w:val="center"/>
        <w:rPr>
          <w:color w:val="74758C"/>
          <w:lang w:val="pt-PT"/>
        </w:rPr>
      </w:pPr>
      <w:r w:rsidRPr="00654D84">
        <w:rPr>
          <w:color w:val="74758C"/>
          <w:lang w:val="pt-PT"/>
        </w:rPr>
        <w:t>###</w:t>
      </w:r>
    </w:p>
    <w:p w14:paraId="21688F68" w14:textId="28284EC6" w:rsidR="00C118EE" w:rsidRPr="00654D84" w:rsidRDefault="0014712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74758C"/>
          <w:sz w:val="16"/>
          <w:szCs w:val="16"/>
          <w:lang w:val="pt-PT"/>
        </w:rPr>
      </w:pPr>
      <w:r w:rsidRPr="00654D84">
        <w:rPr>
          <w:b/>
          <w:bCs/>
          <w:i/>
          <w:iCs/>
          <w:color w:val="74758C"/>
          <w:sz w:val="16"/>
          <w:szCs w:val="16"/>
          <w:lang w:val="pt-PT"/>
        </w:rPr>
        <w:t xml:space="preserve">Notas para </w:t>
      </w:r>
      <w:r w:rsidR="003F7948" w:rsidRPr="00654D84">
        <w:rPr>
          <w:b/>
          <w:bCs/>
          <w:i/>
          <w:iCs/>
          <w:color w:val="74758C"/>
          <w:sz w:val="16"/>
          <w:szCs w:val="16"/>
          <w:lang w:val="pt-PT"/>
        </w:rPr>
        <w:t xml:space="preserve">os </w:t>
      </w:r>
      <w:r w:rsidRPr="00654D84">
        <w:rPr>
          <w:b/>
          <w:bCs/>
          <w:i/>
          <w:iCs/>
          <w:color w:val="74758C"/>
          <w:sz w:val="16"/>
          <w:szCs w:val="16"/>
          <w:lang w:val="pt-PT"/>
        </w:rPr>
        <w:t>editores</w:t>
      </w:r>
    </w:p>
    <w:p w14:paraId="43524540" w14:textId="77777777" w:rsidR="00C118EE" w:rsidRPr="00654D84" w:rsidRDefault="00C118EE">
      <w:pPr>
        <w:jc w:val="both"/>
        <w:rPr>
          <w:i/>
          <w:iCs/>
          <w:color w:val="74758C"/>
          <w:sz w:val="16"/>
          <w:szCs w:val="16"/>
          <w:lang w:val="pt-PT"/>
        </w:rPr>
      </w:pPr>
    </w:p>
    <w:p w14:paraId="526A8280" w14:textId="317C203F" w:rsidR="003F7948" w:rsidRPr="00654D84" w:rsidRDefault="0014712B">
      <w:pPr>
        <w:jc w:val="both"/>
        <w:rPr>
          <w:color w:val="74758C"/>
          <w:sz w:val="16"/>
          <w:szCs w:val="16"/>
          <w:lang w:val="pt-PT"/>
        </w:rPr>
      </w:pPr>
      <w:r w:rsidRPr="00654D84">
        <w:rPr>
          <w:i/>
          <w:iCs/>
          <w:color w:val="74758C"/>
          <w:sz w:val="16"/>
          <w:szCs w:val="16"/>
          <w:vertAlign w:val="superscript"/>
          <w:lang w:val="pt-PT"/>
        </w:rPr>
        <w:t>1</w:t>
      </w:r>
      <w:r w:rsidRPr="00654D84">
        <w:rPr>
          <w:i/>
          <w:iCs/>
          <w:color w:val="74758C"/>
          <w:sz w:val="16"/>
          <w:szCs w:val="16"/>
          <w:lang w:val="pt-PT"/>
        </w:rPr>
        <w:t xml:space="preserve"> </w:t>
      </w:r>
      <w:r w:rsidR="003F7948" w:rsidRPr="00654D84">
        <w:rPr>
          <w:color w:val="74758C"/>
          <w:sz w:val="16"/>
          <w:szCs w:val="16"/>
          <w:lang w:val="pt-PT"/>
        </w:rPr>
        <w:t xml:space="preserve">O relatório baseia-se na análise de previsões solicitadas pela Accor e elaboradas pela </w:t>
      </w:r>
      <w:proofErr w:type="spellStart"/>
      <w:r w:rsidR="003F7948" w:rsidRPr="00654D84">
        <w:rPr>
          <w:color w:val="74758C"/>
          <w:sz w:val="16"/>
          <w:szCs w:val="16"/>
          <w:lang w:val="pt-PT"/>
        </w:rPr>
        <w:t>Tourism</w:t>
      </w:r>
      <w:proofErr w:type="spellEnd"/>
      <w:r w:rsidR="003F7948" w:rsidRPr="00654D84">
        <w:rPr>
          <w:color w:val="74758C"/>
          <w:sz w:val="16"/>
          <w:szCs w:val="16"/>
          <w:lang w:val="pt-PT"/>
        </w:rPr>
        <w:t xml:space="preserve"> </w:t>
      </w:r>
      <w:proofErr w:type="spellStart"/>
      <w:r w:rsidR="003F7948" w:rsidRPr="00654D84">
        <w:rPr>
          <w:color w:val="74758C"/>
          <w:sz w:val="16"/>
          <w:szCs w:val="16"/>
          <w:lang w:val="pt-PT"/>
        </w:rPr>
        <w:t>Economics</w:t>
      </w:r>
      <w:proofErr w:type="spellEnd"/>
      <w:r w:rsidR="003F7948" w:rsidRPr="00654D84">
        <w:rPr>
          <w:color w:val="74758C"/>
          <w:sz w:val="16"/>
          <w:szCs w:val="16"/>
          <w:lang w:val="pt-PT"/>
        </w:rPr>
        <w:t xml:space="preserve"> em junho de 2026. As previsões abrangem o período de 2026 a 2036 e analisam a procura turística, os mercados emissores, as despesas dos visitantes e o comportamento dos viajantes em 47 países europeus.</w:t>
      </w:r>
    </w:p>
    <w:p w14:paraId="215B02DD" w14:textId="77777777" w:rsidR="00C118EE" w:rsidRPr="00654D84" w:rsidRDefault="00C118EE">
      <w:pPr>
        <w:jc w:val="both"/>
        <w:rPr>
          <w:color w:val="74758C"/>
          <w:sz w:val="18"/>
          <w:szCs w:val="18"/>
          <w:lang w:val="pt-PT"/>
        </w:rPr>
      </w:pPr>
    </w:p>
    <w:p w14:paraId="75E5EFEA" w14:textId="77777777" w:rsidR="00585AE5" w:rsidRPr="00654D84" w:rsidRDefault="00585AE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74758C"/>
          <w:sz w:val="18"/>
          <w:szCs w:val="18"/>
          <w:lang w:val="pt-PT"/>
        </w:rPr>
      </w:pPr>
    </w:p>
    <w:p w14:paraId="22A08B98" w14:textId="34A8CE9E" w:rsidR="00C118EE" w:rsidRPr="00654D84" w:rsidRDefault="0014712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P</w:t>
      </w:r>
      <w:r w:rsidR="003F7948" w:rsidRPr="00654D84">
        <w:rPr>
          <w:b/>
          <w:bCs/>
          <w:color w:val="74758C"/>
          <w:sz w:val="18"/>
          <w:szCs w:val="18"/>
          <w:lang w:val="pt-PT"/>
        </w:rPr>
        <w:t>erguntas e respostas</w:t>
      </w:r>
    </w:p>
    <w:p w14:paraId="041811AD" w14:textId="77777777" w:rsidR="00C118EE" w:rsidRPr="00654D84" w:rsidRDefault="00C118EE">
      <w:pPr>
        <w:jc w:val="both"/>
        <w:rPr>
          <w:color w:val="74758C"/>
          <w:sz w:val="18"/>
          <w:szCs w:val="18"/>
          <w:lang w:val="pt-PT"/>
        </w:rPr>
      </w:pPr>
    </w:p>
    <w:p w14:paraId="13D250FC" w14:textId="01F242F5" w:rsidR="00B32607" w:rsidRPr="00654D84" w:rsidRDefault="003F7948">
      <w:pPr>
        <w:jc w:val="both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Quais são as principais conclusões do relatório?</w:t>
      </w:r>
    </w:p>
    <w:p w14:paraId="2FD4AC93" w14:textId="242C876B" w:rsidR="00986297" w:rsidRPr="00654D84" w:rsidRDefault="003F7948" w:rsidP="00986297">
      <w:pPr>
        <w:jc w:val="both"/>
        <w:rPr>
          <w:color w:val="74758C"/>
          <w:sz w:val="18"/>
          <w:szCs w:val="18"/>
          <w:lang w:val="pt-PT"/>
        </w:rPr>
      </w:pPr>
      <w:r w:rsidRPr="00654D84">
        <w:rPr>
          <w:color w:val="74758C"/>
          <w:sz w:val="18"/>
          <w:szCs w:val="18"/>
          <w:lang w:val="pt-PT"/>
        </w:rPr>
        <w:t>As previsões indicam que o turismo europeu continuará a crescer na próxima década, impulsionado pelo aumento da procura de alojamento, pela expansão das viagens internacionais e pelo aparecimento de novos mercados emissores. A procura de alojamento turístico na Europa crescerá 32% até 2036, enquanto as estadias internacionais aumentarão 42%, em comparação com 24% para as estadias nacionais.</w:t>
      </w:r>
    </w:p>
    <w:p w14:paraId="4029D317" w14:textId="77777777" w:rsidR="00585AE5" w:rsidRPr="00654D84" w:rsidRDefault="00585AE5" w:rsidP="00986297">
      <w:pPr>
        <w:jc w:val="both"/>
        <w:rPr>
          <w:b/>
          <w:bCs/>
          <w:color w:val="74758C"/>
          <w:sz w:val="18"/>
          <w:szCs w:val="18"/>
          <w:lang w:val="pt-PT"/>
        </w:rPr>
      </w:pPr>
    </w:p>
    <w:p w14:paraId="566A4A62" w14:textId="6AA8BD55" w:rsidR="00B32607" w:rsidRPr="00654D84" w:rsidRDefault="00654D84" w:rsidP="00986297">
      <w:pPr>
        <w:jc w:val="both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Qual é a fonte e a metodologia dos dados do relatório?</w:t>
      </w:r>
    </w:p>
    <w:p w14:paraId="022AC89A" w14:textId="3D8E33E5" w:rsidR="00976575" w:rsidRDefault="00654D84">
      <w:pPr>
        <w:jc w:val="both"/>
        <w:rPr>
          <w:color w:val="74758C"/>
          <w:sz w:val="18"/>
          <w:szCs w:val="18"/>
          <w:lang w:val="pt-PT"/>
        </w:rPr>
      </w:pPr>
      <w:r w:rsidRPr="00654D84">
        <w:rPr>
          <w:color w:val="74758C"/>
          <w:sz w:val="18"/>
          <w:szCs w:val="18"/>
          <w:lang w:val="pt-PT"/>
        </w:rPr>
        <w:t xml:space="preserve">O relatório baseia-se em previsões elaboradas pela </w:t>
      </w:r>
      <w:proofErr w:type="spellStart"/>
      <w:r w:rsidRPr="00654D84">
        <w:rPr>
          <w:color w:val="74758C"/>
          <w:sz w:val="18"/>
          <w:szCs w:val="18"/>
          <w:lang w:val="pt-PT"/>
        </w:rPr>
        <w:t>Tourism</w:t>
      </w:r>
      <w:proofErr w:type="spellEnd"/>
      <w:r w:rsidRPr="00654D84">
        <w:rPr>
          <w:color w:val="74758C"/>
          <w:sz w:val="18"/>
          <w:szCs w:val="18"/>
          <w:lang w:val="pt-PT"/>
        </w:rPr>
        <w:t xml:space="preserve"> </w:t>
      </w:r>
      <w:proofErr w:type="spellStart"/>
      <w:r w:rsidRPr="00654D84">
        <w:rPr>
          <w:color w:val="74758C"/>
          <w:sz w:val="18"/>
          <w:szCs w:val="18"/>
          <w:lang w:val="pt-PT"/>
        </w:rPr>
        <w:t>Economics</w:t>
      </w:r>
      <w:proofErr w:type="spellEnd"/>
      <w:r w:rsidRPr="00654D84">
        <w:rPr>
          <w:color w:val="74758C"/>
          <w:sz w:val="18"/>
          <w:szCs w:val="18"/>
          <w:lang w:val="pt-PT"/>
        </w:rPr>
        <w:t xml:space="preserve">, uma empresa da Oxford </w:t>
      </w:r>
      <w:proofErr w:type="spellStart"/>
      <w:r w:rsidRPr="00654D84">
        <w:rPr>
          <w:color w:val="74758C"/>
          <w:sz w:val="18"/>
          <w:szCs w:val="18"/>
          <w:lang w:val="pt-PT"/>
        </w:rPr>
        <w:t>Economics</w:t>
      </w:r>
      <w:proofErr w:type="spellEnd"/>
      <w:r w:rsidRPr="00654D84">
        <w:rPr>
          <w:color w:val="74758C"/>
          <w:sz w:val="18"/>
          <w:szCs w:val="18"/>
          <w:lang w:val="pt-PT"/>
        </w:rPr>
        <w:t xml:space="preserve"> e fornecedora líder de análises turísticas e económicas, utilizando um vasto leque de dados sobre turismo, economia e viagens, referentes a junho de 2026. As projeções abrangem o período de 2026 a 2036 e 47 países europeus</w:t>
      </w:r>
    </w:p>
    <w:p w14:paraId="0ABE68BF" w14:textId="77777777" w:rsidR="00E226B2" w:rsidRDefault="00E226B2">
      <w:pPr>
        <w:jc w:val="both"/>
        <w:rPr>
          <w:color w:val="74758C"/>
          <w:sz w:val="18"/>
          <w:szCs w:val="18"/>
          <w:lang w:val="pt-PT"/>
        </w:rPr>
      </w:pPr>
    </w:p>
    <w:p w14:paraId="0BA404BF" w14:textId="7729696D" w:rsidR="00B32607" w:rsidRPr="00654D84" w:rsidRDefault="00654D84">
      <w:pPr>
        <w:jc w:val="both"/>
        <w:rPr>
          <w:b/>
          <w:bCs/>
          <w:color w:val="74758C"/>
          <w:sz w:val="18"/>
          <w:szCs w:val="18"/>
          <w:lang w:val="pt-PT"/>
        </w:rPr>
      </w:pPr>
      <w:r w:rsidRPr="00654D84">
        <w:rPr>
          <w:b/>
          <w:bCs/>
          <w:color w:val="74758C"/>
          <w:sz w:val="18"/>
          <w:szCs w:val="18"/>
          <w:lang w:val="pt-PT"/>
        </w:rPr>
        <w:t>Que conclusões apresenta o relatório para os hoteleiros?</w:t>
      </w:r>
    </w:p>
    <w:p w14:paraId="2BBC78EE" w14:textId="35B5A12F" w:rsidR="00C118EE" w:rsidRPr="00654D84" w:rsidRDefault="00654D84">
      <w:pPr>
        <w:jc w:val="both"/>
        <w:rPr>
          <w:color w:val="74758C"/>
          <w:sz w:val="18"/>
          <w:szCs w:val="18"/>
          <w:lang w:val="pt-PT"/>
        </w:rPr>
      </w:pPr>
      <w:r w:rsidRPr="00654D84">
        <w:rPr>
          <w:color w:val="74758C"/>
          <w:sz w:val="18"/>
          <w:szCs w:val="18"/>
          <w:lang w:val="pt-PT"/>
        </w:rPr>
        <w:t>O relatório sublinha a importância de compreender as mudanças no comportamento dos viajantes, de se adaptar aos novos padrões de procura e de identificar os mercados com maior potencial de crescimento.</w:t>
      </w:r>
      <w:r w:rsidR="00976575">
        <w:rPr>
          <w:color w:val="74758C"/>
          <w:sz w:val="18"/>
          <w:szCs w:val="18"/>
          <w:lang w:val="pt-PT"/>
        </w:rPr>
        <w:t xml:space="preserve"> </w:t>
      </w:r>
      <w:r w:rsidR="00976575" w:rsidRPr="00976575">
        <w:rPr>
          <w:color w:val="74758C"/>
          <w:sz w:val="18"/>
          <w:szCs w:val="18"/>
          <w:lang w:val="pt-PT"/>
        </w:rPr>
        <w:t xml:space="preserve">À medida que a procura se torna mais internacional e geograficamente diversificada, os proprietários que conseguirem alinhar as marcas, localizações e capacidades certas com os fluxos de viajantes em constante evolução </w:t>
      </w:r>
      <w:r w:rsidR="00976575" w:rsidRPr="00654D84">
        <w:rPr>
          <w:color w:val="74758C"/>
          <w:sz w:val="18"/>
          <w:szCs w:val="18"/>
          <w:lang w:val="pt-PT"/>
        </w:rPr>
        <w:t>estarão melhor posicionados para tirar partido do próximo capítulo do turismo europeu.</w:t>
      </w:r>
    </w:p>
    <w:p w14:paraId="78781BEC" w14:textId="77777777" w:rsidR="00C118EE" w:rsidRPr="00654D84" w:rsidRDefault="00C118EE">
      <w:pPr>
        <w:jc w:val="both"/>
        <w:rPr>
          <w:color w:val="74758C"/>
          <w:sz w:val="18"/>
          <w:szCs w:val="18"/>
          <w:lang w:val="pt-PT"/>
        </w:rPr>
      </w:pPr>
    </w:p>
    <w:p w14:paraId="32D4284B" w14:textId="77777777" w:rsidR="00C118EE" w:rsidRPr="00654D84" w:rsidRDefault="00C118EE">
      <w:pPr>
        <w:jc w:val="both"/>
        <w:rPr>
          <w:color w:val="74758C"/>
          <w:lang w:val="pt-PT"/>
        </w:rPr>
      </w:pPr>
    </w:p>
    <w:p w14:paraId="6C4CFD2E" w14:textId="77777777" w:rsidR="00B32607" w:rsidRPr="00654D84" w:rsidRDefault="00B32607" w:rsidP="00B32607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6099C30C" w14:textId="120A9436" w:rsidR="00B32607" w:rsidRPr="00654D84" w:rsidRDefault="00976575" w:rsidP="004550F6">
      <w:pPr>
        <w:jc w:val="center"/>
        <w:rPr>
          <w:b/>
          <w:bCs/>
          <w:color w:val="002060"/>
          <w:sz w:val="16"/>
          <w:szCs w:val="16"/>
          <w:lang w:val="pt-PT"/>
        </w:rPr>
      </w:pPr>
      <w:r>
        <w:rPr>
          <w:b/>
          <w:bCs/>
          <w:color w:val="002060"/>
          <w:sz w:val="16"/>
          <w:szCs w:val="16"/>
          <w:lang w:val="pt-PT"/>
        </w:rPr>
        <w:t>SOBRE A</w:t>
      </w:r>
      <w:r w:rsidR="00B32607" w:rsidRPr="00654D84">
        <w:rPr>
          <w:b/>
          <w:bCs/>
          <w:color w:val="002060"/>
          <w:sz w:val="16"/>
          <w:szCs w:val="16"/>
          <w:lang w:val="pt-PT"/>
        </w:rPr>
        <w:t xml:space="preserve"> ACCOR</w:t>
      </w:r>
    </w:p>
    <w:p w14:paraId="05DC8E70" w14:textId="77777777" w:rsidR="00B32607" w:rsidRPr="00654D84" w:rsidRDefault="00B32607" w:rsidP="00B32607">
      <w:pPr>
        <w:jc w:val="both"/>
        <w:rPr>
          <w:i/>
          <w:iCs/>
          <w:color w:val="74758C"/>
          <w:sz w:val="16"/>
          <w:szCs w:val="16"/>
          <w:lang w:val="pt-PT"/>
        </w:rPr>
      </w:pPr>
    </w:p>
    <w:p w14:paraId="79510173" w14:textId="7D51E9F6" w:rsidR="00B32607" w:rsidRPr="00654D84" w:rsidRDefault="00654D84" w:rsidP="00B32607">
      <w:pPr>
        <w:jc w:val="both"/>
        <w:rPr>
          <w:color w:val="74758C"/>
          <w:sz w:val="18"/>
          <w:szCs w:val="18"/>
          <w:lang w:val="pt-PT"/>
        </w:rPr>
      </w:pPr>
      <w:r w:rsidRPr="00654D84">
        <w:rPr>
          <w:color w:val="74758C"/>
          <w:sz w:val="18"/>
          <w:szCs w:val="18"/>
          <w:lang w:val="pt-PT"/>
        </w:rPr>
        <w:t>A</w:t>
      </w:r>
      <w:r w:rsidRPr="00654D84">
        <w:rPr>
          <w:lang w:val="pt-PT"/>
        </w:rPr>
        <w:t xml:space="preserve"> </w:t>
      </w:r>
      <w:hyperlink r:id="rId11">
        <w:r w:rsidR="00B32607" w:rsidRPr="00654D84">
          <w:rPr>
            <w:color w:val="000000"/>
            <w:sz w:val="18"/>
            <w:szCs w:val="18"/>
            <w:u w:val="single"/>
            <w:lang w:val="pt-PT"/>
          </w:rPr>
          <w:t>Accor</w:t>
        </w:r>
      </w:hyperlink>
      <w:r w:rsidR="00B32607" w:rsidRPr="00654D84">
        <w:rPr>
          <w:color w:val="74758C"/>
          <w:sz w:val="18"/>
          <w:szCs w:val="18"/>
          <w:lang w:val="pt-PT"/>
        </w:rPr>
        <w:t xml:space="preserve"> </w:t>
      </w:r>
      <w:r w:rsidRPr="00654D84">
        <w:rPr>
          <w:color w:val="74758C"/>
          <w:sz w:val="18"/>
          <w:szCs w:val="18"/>
          <w:lang w:val="pt-PT"/>
        </w:rPr>
        <w:t xml:space="preserve">é um grupo hoteleiro líder a nível mundial que oferece experiências em mais de 110 países, com 5.700 estabelecimentos, 10.000 espaços de restauração, instalações de bem-estar e espaços de trabalho flexíveis. O Grupo possui um dos ecossistemas hoteleiros mais diversificados do setor, que abrange mais de 45 marcas hoteleiras, desde o segmento de luxo até ao económico, bem como o segmento </w:t>
      </w:r>
      <w:proofErr w:type="spellStart"/>
      <w:r w:rsidRPr="00654D84">
        <w:rPr>
          <w:color w:val="74758C"/>
          <w:sz w:val="18"/>
          <w:szCs w:val="18"/>
          <w:lang w:val="pt-PT"/>
        </w:rPr>
        <w:t>Lifestyle</w:t>
      </w:r>
      <w:proofErr w:type="spellEnd"/>
      <w:r w:rsidRPr="00654D84">
        <w:rPr>
          <w:color w:val="74758C"/>
          <w:sz w:val="18"/>
          <w:szCs w:val="18"/>
          <w:lang w:val="pt-PT"/>
        </w:rPr>
        <w:t xml:space="preserve"> com a </w:t>
      </w:r>
      <w:proofErr w:type="spellStart"/>
      <w:r w:rsidRPr="00654D84">
        <w:rPr>
          <w:color w:val="74758C"/>
          <w:sz w:val="18"/>
          <w:szCs w:val="18"/>
          <w:lang w:val="pt-PT"/>
        </w:rPr>
        <w:t>Ennismore</w:t>
      </w:r>
      <w:proofErr w:type="spellEnd"/>
      <w:r w:rsidRPr="00654D84">
        <w:rPr>
          <w:color w:val="74758C"/>
          <w:sz w:val="18"/>
          <w:szCs w:val="18"/>
          <w:lang w:val="pt-PT"/>
        </w:rPr>
        <w:t xml:space="preserve">. A Accor está empenhada em promover ações positivas através da ética empresarial, do turismo responsável, da sustentabilidade ambiental, do envolvimento com a comunidade, da diversidade e da inclusão. Fundada em 1967, a Accor SA tem sede em França e está cotada na </w:t>
      </w:r>
      <w:proofErr w:type="spellStart"/>
      <w:r w:rsidRPr="00654D84">
        <w:rPr>
          <w:color w:val="74758C"/>
          <w:sz w:val="18"/>
          <w:szCs w:val="18"/>
          <w:lang w:val="pt-PT"/>
        </w:rPr>
        <w:t>Euronext</w:t>
      </w:r>
      <w:proofErr w:type="spellEnd"/>
      <w:r w:rsidRPr="00654D84">
        <w:rPr>
          <w:color w:val="74758C"/>
          <w:sz w:val="18"/>
          <w:szCs w:val="18"/>
          <w:lang w:val="pt-PT"/>
        </w:rPr>
        <w:t xml:space="preserve"> Paris (código ISIN: FR0000120404) e no mercado OTC (símbolo: ACCYY) dos Estados Unidos. Para mais informações, visite</w:t>
      </w:r>
      <w:r w:rsidR="00B32607" w:rsidRPr="00654D84">
        <w:rPr>
          <w:color w:val="74758C"/>
          <w:sz w:val="18"/>
          <w:szCs w:val="18"/>
          <w:lang w:val="pt-PT"/>
        </w:rPr>
        <w:t xml:space="preserve"> </w:t>
      </w:r>
      <w:hyperlink r:id="rId12">
        <w:r w:rsidR="00B32607" w:rsidRPr="00654D84">
          <w:rPr>
            <w:color w:val="000000"/>
            <w:sz w:val="18"/>
            <w:szCs w:val="18"/>
            <w:u w:val="single"/>
            <w:lang w:val="pt-PT"/>
          </w:rPr>
          <w:t>group.accor.com</w:t>
        </w:r>
      </w:hyperlink>
      <w:r w:rsidR="00B32607" w:rsidRPr="00654D84">
        <w:rPr>
          <w:color w:val="74758C"/>
          <w:sz w:val="18"/>
          <w:szCs w:val="18"/>
          <w:lang w:val="pt-PT"/>
        </w:rPr>
        <w:t xml:space="preserve"> o</w:t>
      </w:r>
      <w:r w:rsidRPr="00654D84">
        <w:rPr>
          <w:color w:val="74758C"/>
          <w:sz w:val="18"/>
          <w:szCs w:val="18"/>
          <w:lang w:val="pt-PT"/>
        </w:rPr>
        <w:t>u</w:t>
      </w:r>
      <w:r w:rsidR="00B32607" w:rsidRPr="00654D84">
        <w:rPr>
          <w:color w:val="74758C"/>
          <w:sz w:val="18"/>
          <w:szCs w:val="18"/>
          <w:lang w:val="pt-PT"/>
        </w:rPr>
        <w:t xml:space="preserve"> s</w:t>
      </w:r>
      <w:r w:rsidRPr="00654D84">
        <w:rPr>
          <w:color w:val="74758C"/>
          <w:sz w:val="18"/>
          <w:szCs w:val="18"/>
          <w:lang w:val="pt-PT"/>
        </w:rPr>
        <w:t>iga-nos no</w:t>
      </w:r>
      <w:r w:rsidR="00B32607" w:rsidRPr="00654D84">
        <w:rPr>
          <w:color w:val="74758C"/>
          <w:sz w:val="18"/>
          <w:szCs w:val="18"/>
          <w:lang w:val="pt-PT"/>
        </w:rPr>
        <w:t xml:space="preserve"> </w:t>
      </w:r>
      <w:hyperlink r:id="rId13">
        <w:r w:rsidR="00B32607" w:rsidRPr="00654D84">
          <w:rPr>
            <w:color w:val="000000"/>
            <w:sz w:val="18"/>
            <w:szCs w:val="18"/>
            <w:u w:val="single"/>
            <w:lang w:val="pt-PT"/>
          </w:rPr>
          <w:t>X</w:t>
        </w:r>
      </w:hyperlink>
      <w:r w:rsidR="00B32607" w:rsidRPr="00654D84">
        <w:rPr>
          <w:color w:val="74758C"/>
          <w:sz w:val="18"/>
          <w:szCs w:val="18"/>
          <w:lang w:val="pt-PT"/>
        </w:rPr>
        <w:t>, </w:t>
      </w:r>
      <w:hyperlink r:id="rId14">
        <w:r w:rsidR="00B32607" w:rsidRPr="00654D84">
          <w:rPr>
            <w:color w:val="000000"/>
            <w:sz w:val="18"/>
            <w:szCs w:val="18"/>
            <w:u w:val="single"/>
            <w:lang w:val="pt-PT"/>
          </w:rPr>
          <w:t>Facebook</w:t>
        </w:r>
      </w:hyperlink>
      <w:r w:rsidR="00B32607" w:rsidRPr="00654D84">
        <w:rPr>
          <w:color w:val="74758C"/>
          <w:sz w:val="18"/>
          <w:szCs w:val="18"/>
          <w:lang w:val="pt-PT"/>
        </w:rPr>
        <w:t>, </w:t>
      </w:r>
      <w:proofErr w:type="spellStart"/>
      <w:r w:rsidR="00B32607">
        <w:fldChar w:fldCharType="begin"/>
      </w:r>
      <w:r w:rsidR="00B32607">
        <w:instrText>HYPERLINK "https://www.linkedin.com/company/accor/" \h</w:instrText>
      </w:r>
      <w:r w:rsidR="00B32607">
        <w:fldChar w:fldCharType="separate"/>
      </w:r>
      <w:r w:rsidR="00B32607" w:rsidRPr="00654D84">
        <w:rPr>
          <w:color w:val="000000"/>
          <w:sz w:val="18"/>
          <w:szCs w:val="18"/>
          <w:u w:val="single"/>
          <w:lang w:val="pt-PT"/>
        </w:rPr>
        <w:t>LinkedIn</w:t>
      </w:r>
      <w:proofErr w:type="spellEnd"/>
      <w:r w:rsidR="00B32607" w:rsidRPr="00654D84">
        <w:rPr>
          <w:color w:val="000000"/>
          <w:sz w:val="18"/>
          <w:szCs w:val="18"/>
          <w:u w:val="single"/>
          <w:lang w:val="pt-PT"/>
        </w:rPr>
        <w:t>,</w:t>
      </w:r>
      <w:r w:rsidR="00B32607">
        <w:fldChar w:fldCharType="end"/>
      </w:r>
      <w:r w:rsidR="00B32607" w:rsidRPr="00654D84">
        <w:rPr>
          <w:color w:val="74758C"/>
          <w:sz w:val="18"/>
          <w:szCs w:val="18"/>
          <w:lang w:val="pt-PT"/>
        </w:rPr>
        <w:t xml:space="preserve"> </w:t>
      </w:r>
      <w:hyperlink r:id="rId15">
        <w:r w:rsidR="00B32607" w:rsidRPr="00654D84">
          <w:rPr>
            <w:color w:val="000000"/>
            <w:sz w:val="18"/>
            <w:szCs w:val="18"/>
            <w:u w:val="single"/>
            <w:lang w:val="pt-PT"/>
          </w:rPr>
          <w:t>Instagram</w:t>
        </w:r>
      </w:hyperlink>
      <w:r w:rsidR="00B32607" w:rsidRPr="00654D84">
        <w:rPr>
          <w:color w:val="74758C"/>
          <w:sz w:val="18"/>
          <w:szCs w:val="18"/>
          <w:lang w:val="pt-PT"/>
        </w:rPr>
        <w:t xml:space="preserve"> y </w:t>
      </w:r>
      <w:hyperlink r:id="rId16">
        <w:proofErr w:type="spellStart"/>
        <w:r w:rsidR="00B32607" w:rsidRPr="00654D84">
          <w:rPr>
            <w:color w:val="000000"/>
            <w:sz w:val="18"/>
            <w:szCs w:val="18"/>
            <w:u w:val="single"/>
            <w:lang w:val="pt-PT"/>
          </w:rPr>
          <w:t>TikTok</w:t>
        </w:r>
        <w:proofErr w:type="spellEnd"/>
      </w:hyperlink>
      <w:r w:rsidR="00B32607" w:rsidRPr="00654D84">
        <w:rPr>
          <w:color w:val="74758C"/>
          <w:sz w:val="12"/>
          <w:szCs w:val="12"/>
          <w:lang w:val="pt-PT"/>
        </w:rPr>
        <w:t>.</w:t>
      </w:r>
    </w:p>
    <w:p w14:paraId="33B1A3C5" w14:textId="77777777" w:rsidR="00B32607" w:rsidRPr="00654D84" w:rsidRDefault="00B32607" w:rsidP="00B32607">
      <w:pPr>
        <w:jc w:val="both"/>
        <w:rPr>
          <w:color w:val="74758C"/>
          <w:sz w:val="12"/>
          <w:szCs w:val="12"/>
          <w:lang w:val="pt-PT"/>
        </w:rPr>
      </w:pPr>
    </w:p>
    <w:p w14:paraId="40E4944F" w14:textId="77777777" w:rsidR="00B32607" w:rsidRPr="00654D84" w:rsidRDefault="00B32607" w:rsidP="00B32607">
      <w:pPr>
        <w:jc w:val="both"/>
        <w:rPr>
          <w:color w:val="74758C"/>
          <w:sz w:val="16"/>
          <w:szCs w:val="16"/>
          <w:lang w:val="pt-PT"/>
        </w:rPr>
      </w:pPr>
    </w:p>
    <w:p w14:paraId="0AB35D0F" w14:textId="3E93D4FA" w:rsidR="00C216CC" w:rsidRPr="00654D84" w:rsidRDefault="00B32607" w:rsidP="00C216CC">
      <w:pPr>
        <w:jc w:val="both"/>
        <w:rPr>
          <w:b/>
          <w:bCs/>
          <w:color w:val="74758C"/>
          <w:sz w:val="16"/>
          <w:szCs w:val="16"/>
          <w:lang w:val="pt-PT"/>
        </w:rPr>
      </w:pPr>
      <w:r w:rsidRPr="00654D84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 </w:t>
      </w:r>
    </w:p>
    <w:p w14:paraId="1C1A6914" w14:textId="1E05AC6B" w:rsidR="00B32607" w:rsidRPr="00654D84" w:rsidRDefault="00B32607" w:rsidP="00B32607">
      <w:pPr>
        <w:rPr>
          <w:rFonts w:eastAsia="Arial" w:cs="Arial"/>
          <w:b/>
          <w:bCs/>
          <w:color w:val="74758C"/>
          <w:sz w:val="18"/>
          <w:szCs w:val="18"/>
          <w:lang w:val="pt-PT"/>
        </w:rPr>
      </w:pPr>
    </w:p>
    <w:p w14:paraId="3C3DD798" w14:textId="7B474432" w:rsidR="00B32607" w:rsidRPr="00654D84" w:rsidRDefault="00B32607" w:rsidP="00B32607">
      <w:pPr>
        <w:rPr>
          <w:rFonts w:eastAsia="Arial" w:cs="Arial"/>
          <w:b/>
          <w:bCs/>
          <w:color w:val="002060"/>
          <w:sz w:val="18"/>
          <w:szCs w:val="18"/>
          <w:u w:val="single"/>
          <w:lang w:val="pt-PT"/>
        </w:rPr>
      </w:pPr>
      <w:r w:rsidRPr="00654D84">
        <w:rPr>
          <w:rFonts w:eastAsia="Arial" w:cs="Arial"/>
          <w:b/>
          <w:bCs/>
          <w:color w:val="002060"/>
          <w:sz w:val="18"/>
          <w:szCs w:val="18"/>
          <w:u w:val="single"/>
          <w:lang w:val="pt-PT"/>
        </w:rPr>
        <w:t>Contacto</w:t>
      </w:r>
      <w:r w:rsidR="00976575">
        <w:rPr>
          <w:rFonts w:eastAsia="Arial" w:cs="Arial"/>
          <w:b/>
          <w:bCs/>
          <w:color w:val="002060"/>
          <w:sz w:val="18"/>
          <w:szCs w:val="18"/>
          <w:u w:val="single"/>
          <w:lang w:val="pt-PT"/>
        </w:rPr>
        <w:t>s</w:t>
      </w:r>
      <w:r w:rsidRPr="00654D84">
        <w:rPr>
          <w:rFonts w:eastAsia="Arial" w:cs="Arial"/>
          <w:b/>
          <w:bCs/>
          <w:color w:val="002060"/>
          <w:sz w:val="18"/>
          <w:szCs w:val="18"/>
          <w:u w:val="single"/>
          <w:lang w:val="pt-PT"/>
        </w:rPr>
        <w:t xml:space="preserve"> de </w:t>
      </w:r>
      <w:r w:rsidR="00654D84" w:rsidRPr="00654D84">
        <w:rPr>
          <w:rFonts w:eastAsia="Arial" w:cs="Arial"/>
          <w:b/>
          <w:bCs/>
          <w:color w:val="002060"/>
          <w:sz w:val="18"/>
          <w:szCs w:val="18"/>
          <w:u w:val="single"/>
          <w:lang w:val="pt-PT"/>
        </w:rPr>
        <w:t>im</w:t>
      </w:r>
      <w:r w:rsidRPr="00654D84">
        <w:rPr>
          <w:rFonts w:eastAsia="Arial" w:cs="Arial"/>
          <w:b/>
          <w:bCs/>
          <w:color w:val="002060"/>
          <w:sz w:val="18"/>
          <w:szCs w:val="18"/>
          <w:u w:val="single"/>
          <w:lang w:val="pt-PT"/>
        </w:rPr>
        <w:t>prensa Accor:</w:t>
      </w:r>
    </w:p>
    <w:p w14:paraId="2B84A5F5" w14:textId="77777777" w:rsidR="00B32607" w:rsidRPr="00654D84" w:rsidRDefault="00B32607" w:rsidP="00B32607">
      <w:pPr>
        <w:rPr>
          <w:rFonts w:eastAsia="Arial" w:cs="Arial"/>
          <w:color w:val="74758C"/>
          <w:sz w:val="18"/>
          <w:szCs w:val="18"/>
          <w:lang w:val="pt-PT"/>
        </w:rPr>
      </w:pPr>
      <w:r w:rsidRPr="00654D84">
        <w:rPr>
          <w:rFonts w:eastAsia="Arial" w:cs="Arial"/>
          <w:color w:val="74758C"/>
          <w:sz w:val="18"/>
          <w:szCs w:val="18"/>
          <w:lang w:val="pt-PT"/>
        </w:rPr>
        <w:t xml:space="preserve"> </w:t>
      </w:r>
    </w:p>
    <w:p w14:paraId="1ADF6346" w14:textId="77777777" w:rsidR="00B32607" w:rsidRPr="00654D84" w:rsidRDefault="00B32607" w:rsidP="00B32607">
      <w:pPr>
        <w:rPr>
          <w:rFonts w:eastAsia="Arial" w:cs="Arial"/>
          <w:color w:val="74758C"/>
          <w:sz w:val="18"/>
          <w:szCs w:val="18"/>
          <w:lang w:val="pt-PT"/>
        </w:rPr>
      </w:pPr>
      <w:r w:rsidRPr="00654D84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Sara López </w:t>
      </w:r>
      <w:proofErr w:type="spellStart"/>
      <w:r w:rsidRPr="00654D84">
        <w:rPr>
          <w:rFonts w:eastAsia="Arial" w:cs="Arial"/>
          <w:b/>
          <w:bCs/>
          <w:color w:val="74758C"/>
          <w:sz w:val="18"/>
          <w:szCs w:val="18"/>
          <w:lang w:val="pt-PT"/>
        </w:rPr>
        <w:t>Morosetti</w:t>
      </w:r>
      <w:proofErr w:type="spellEnd"/>
      <w:r w:rsidRPr="00654D84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             </w:t>
      </w:r>
      <w:r w:rsidRPr="00654D84">
        <w:rPr>
          <w:rFonts w:eastAsia="Arial" w:cs="Arial"/>
          <w:b/>
          <w:bCs/>
          <w:color w:val="74758C"/>
          <w:sz w:val="18"/>
          <w:szCs w:val="18"/>
          <w:lang w:val="pt-PT"/>
        </w:rPr>
        <w:tab/>
        <w:t xml:space="preserve">                                                </w:t>
      </w:r>
      <w:r w:rsidRPr="00654D84">
        <w:rPr>
          <w:rFonts w:eastAsia="Arial" w:cs="Arial"/>
          <w:color w:val="74758C"/>
          <w:sz w:val="18"/>
          <w:szCs w:val="18"/>
          <w:lang w:val="pt-PT"/>
        </w:rPr>
        <w:t xml:space="preserve">          </w:t>
      </w:r>
    </w:p>
    <w:p w14:paraId="06F041E9" w14:textId="531B6395" w:rsidR="00B32607" w:rsidRPr="00246EC5" w:rsidRDefault="00B32607" w:rsidP="00B32607">
      <w:pPr>
        <w:rPr>
          <w:rFonts w:eastAsia="Arial" w:cs="Arial"/>
          <w:color w:val="74758C"/>
          <w:sz w:val="18"/>
          <w:szCs w:val="18"/>
          <w:lang w:val="fr-BE"/>
        </w:rPr>
      </w:pPr>
      <w:r w:rsidRPr="00246EC5">
        <w:rPr>
          <w:rFonts w:eastAsia="Arial" w:cs="Arial"/>
          <w:color w:val="74758C"/>
          <w:sz w:val="18"/>
          <w:szCs w:val="18"/>
          <w:lang w:val="fr-BE"/>
        </w:rPr>
        <w:t>PR &amp; Media Relations Manager</w:t>
      </w:r>
      <w:r w:rsidR="00E226B2">
        <w:rPr>
          <w:rFonts w:eastAsia="Arial" w:cs="Arial"/>
          <w:color w:val="74758C"/>
          <w:sz w:val="18"/>
          <w:szCs w:val="18"/>
          <w:lang w:val="fr-BE"/>
        </w:rPr>
        <w:t xml:space="preserve"> </w:t>
      </w:r>
      <w:r w:rsidRPr="00246EC5">
        <w:rPr>
          <w:rFonts w:eastAsia="Arial" w:cs="Arial"/>
          <w:color w:val="74758C"/>
          <w:sz w:val="18"/>
          <w:szCs w:val="18"/>
          <w:lang w:val="fr-BE"/>
        </w:rPr>
        <w:t xml:space="preserve">- </w:t>
      </w:r>
      <w:proofErr w:type="spellStart"/>
      <w:r w:rsidRPr="00246EC5">
        <w:rPr>
          <w:rFonts w:eastAsia="Arial" w:cs="Arial"/>
          <w:color w:val="74758C"/>
          <w:sz w:val="18"/>
          <w:szCs w:val="18"/>
          <w:lang w:val="fr-BE"/>
        </w:rPr>
        <w:t>Mediterranean</w:t>
      </w:r>
      <w:proofErr w:type="spellEnd"/>
      <w:r w:rsidRPr="00246EC5">
        <w:rPr>
          <w:rFonts w:eastAsia="Arial" w:cs="Arial"/>
          <w:color w:val="74758C"/>
          <w:sz w:val="18"/>
          <w:szCs w:val="18"/>
          <w:lang w:val="fr-BE"/>
        </w:rPr>
        <w:t xml:space="preserve"> Countries       </w:t>
      </w:r>
      <w:r w:rsidRPr="00246EC5">
        <w:rPr>
          <w:rFonts w:eastAsia="Arial" w:cs="Arial"/>
          <w:color w:val="74758C"/>
          <w:sz w:val="18"/>
          <w:szCs w:val="18"/>
          <w:lang w:val="fr-BE"/>
        </w:rPr>
        <w:tab/>
        <w:t xml:space="preserve"> </w:t>
      </w:r>
      <w:hyperlink r:id="rId17">
        <w:r w:rsidRPr="00246EC5">
          <w:rPr>
            <w:rFonts w:eastAsia="Arial" w:cs="Arial"/>
            <w:color w:val="1155CC"/>
            <w:sz w:val="18"/>
            <w:szCs w:val="18"/>
            <w:u w:val="single"/>
            <w:lang w:val="fr-BE"/>
          </w:rPr>
          <w:t>sara.lopezmorosetti@accor.com</w:t>
        </w:r>
      </w:hyperlink>
    </w:p>
    <w:p w14:paraId="4A1D3414" w14:textId="77777777" w:rsidR="00B32607" w:rsidRPr="00246EC5" w:rsidRDefault="00B32607" w:rsidP="00B32607">
      <w:pPr>
        <w:rPr>
          <w:rFonts w:eastAsia="Arial" w:cs="Arial"/>
          <w:color w:val="74758C"/>
          <w:sz w:val="18"/>
          <w:szCs w:val="18"/>
          <w:lang w:val="fr-BE"/>
        </w:rPr>
      </w:pPr>
    </w:p>
    <w:p w14:paraId="5D63B217" w14:textId="77777777" w:rsidR="00B32607" w:rsidRPr="00246EC5" w:rsidRDefault="00B32607" w:rsidP="00B32607">
      <w:pPr>
        <w:rPr>
          <w:rFonts w:eastAsia="Arial" w:cs="Arial"/>
          <w:color w:val="74758C"/>
          <w:sz w:val="18"/>
          <w:szCs w:val="18"/>
          <w:lang w:val="fr-BE"/>
        </w:rPr>
      </w:pPr>
      <w:proofErr w:type="spellStart"/>
      <w:r w:rsidRPr="00246EC5">
        <w:rPr>
          <w:rFonts w:eastAsia="Arial" w:cs="Arial"/>
          <w:b/>
          <w:bCs/>
          <w:color w:val="74758C"/>
          <w:sz w:val="18"/>
          <w:szCs w:val="18"/>
          <w:lang w:val="fr-BE"/>
        </w:rPr>
        <w:t>Sergat</w:t>
      </w:r>
      <w:proofErr w:type="spellEnd"/>
    </w:p>
    <w:p w14:paraId="54B3F97E" w14:textId="1FA4184D" w:rsidR="00B32607" w:rsidRPr="00246EC5" w:rsidRDefault="00B32607" w:rsidP="00B32607">
      <w:pPr>
        <w:rPr>
          <w:rFonts w:eastAsia="Arial" w:cs="Arial"/>
          <w:color w:val="74758C"/>
          <w:sz w:val="18"/>
          <w:szCs w:val="18"/>
          <w:lang w:val="fr-BE"/>
        </w:rPr>
      </w:pPr>
      <w:proofErr w:type="spellStart"/>
      <w:r w:rsidRPr="00246EC5">
        <w:rPr>
          <w:rFonts w:eastAsia="Arial" w:cs="Arial"/>
          <w:color w:val="74758C"/>
          <w:sz w:val="18"/>
          <w:szCs w:val="18"/>
          <w:lang w:val="fr-BE"/>
        </w:rPr>
        <w:t>Ag</w:t>
      </w:r>
      <w:r w:rsidR="00654D84" w:rsidRPr="00246EC5">
        <w:rPr>
          <w:rFonts w:eastAsia="Arial" w:cs="Arial"/>
          <w:color w:val="74758C"/>
          <w:sz w:val="18"/>
          <w:szCs w:val="18"/>
          <w:lang w:val="fr-BE"/>
        </w:rPr>
        <w:t>ê</w:t>
      </w:r>
      <w:r w:rsidRPr="00246EC5">
        <w:rPr>
          <w:rFonts w:eastAsia="Arial" w:cs="Arial"/>
          <w:color w:val="74758C"/>
          <w:sz w:val="18"/>
          <w:szCs w:val="18"/>
          <w:lang w:val="fr-BE"/>
        </w:rPr>
        <w:t>ncia</w:t>
      </w:r>
      <w:proofErr w:type="spellEnd"/>
      <w:r w:rsidRPr="00246EC5">
        <w:rPr>
          <w:rFonts w:eastAsia="Arial" w:cs="Arial"/>
          <w:color w:val="74758C"/>
          <w:sz w:val="18"/>
          <w:szCs w:val="18"/>
          <w:lang w:val="fr-BE"/>
        </w:rPr>
        <w:t xml:space="preserve"> de </w:t>
      </w:r>
      <w:proofErr w:type="spellStart"/>
      <w:r w:rsidRPr="00246EC5">
        <w:rPr>
          <w:rFonts w:eastAsia="Arial" w:cs="Arial"/>
          <w:color w:val="74758C"/>
          <w:sz w:val="18"/>
          <w:szCs w:val="18"/>
          <w:lang w:val="fr-BE"/>
        </w:rPr>
        <w:t>comunica</w:t>
      </w:r>
      <w:r w:rsidR="00654D84" w:rsidRPr="00246EC5">
        <w:rPr>
          <w:rFonts w:eastAsia="Arial" w:cs="Arial"/>
          <w:color w:val="74758C"/>
          <w:sz w:val="18"/>
          <w:szCs w:val="18"/>
          <w:lang w:val="fr-BE"/>
        </w:rPr>
        <w:t>ção</w:t>
      </w:r>
      <w:proofErr w:type="spellEnd"/>
    </w:p>
    <w:p w14:paraId="17772826" w14:textId="77777777" w:rsidR="00B32607" w:rsidRPr="00246EC5" w:rsidRDefault="00B32607" w:rsidP="00B32607">
      <w:pPr>
        <w:rPr>
          <w:rFonts w:eastAsia="Arial" w:cs="Arial"/>
          <w:color w:val="1155CC"/>
          <w:sz w:val="18"/>
          <w:szCs w:val="18"/>
          <w:u w:val="single"/>
          <w:lang w:val="fr-BE"/>
        </w:rPr>
      </w:pPr>
      <w:hyperlink r:id="rId18">
        <w:r w:rsidRPr="00246EC5">
          <w:rPr>
            <w:rFonts w:eastAsia="Arial" w:cs="Arial"/>
            <w:color w:val="1155CC"/>
            <w:sz w:val="18"/>
            <w:szCs w:val="18"/>
            <w:u w:val="single"/>
            <w:lang w:val="fr-BE"/>
          </w:rPr>
          <w:t>prensa@sergat.com</w:t>
        </w:r>
      </w:hyperlink>
    </w:p>
    <w:p w14:paraId="4515354F" w14:textId="77777777" w:rsidR="00C118EE" w:rsidRPr="00246EC5" w:rsidRDefault="00C118EE" w:rsidP="0092796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74758C"/>
          <w:lang w:val="fr-BE"/>
        </w:rPr>
      </w:pPr>
    </w:p>
    <w:sectPr w:rsidR="00C118EE" w:rsidRPr="00246EC5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2381" w:right="1758" w:bottom="567" w:left="1758" w:header="284" w:footer="145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FC7B44" w14:textId="77777777" w:rsidR="00402869" w:rsidRDefault="00402869">
      <w:r>
        <w:separator/>
      </w:r>
    </w:p>
  </w:endnote>
  <w:endnote w:type="continuationSeparator" w:id="0">
    <w:p w14:paraId="1F18C360" w14:textId="77777777" w:rsidR="00402869" w:rsidRDefault="00402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2690F898-874C-B240-86DB-72BD9F9A52F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542A7C5F-409C-F543-A64C-B4C4A2776D3A}"/>
    <w:embedBold r:id="rId4" w:fontKey="{BB29979C-4760-E742-9F7C-1ACC983DD15D}"/>
    <w:embedItalic r:id="rId5" w:fontKey="{3756F5B1-174E-5D48-9DE4-7833DB925B0D}"/>
    <w:embedBoldItalic r:id="rId6" w:fontKey="{026942C6-7B99-E14C-B57D-926AA1102F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EDD04CA7-DD3C-C947-9669-B56ED6AACBB0}"/>
    <w:embedBold r:id="rId8" w:fontKey="{C1D6471F-6BB9-DC41-B8B8-1B724B93A43A}"/>
    <w:embedItalic r:id="rId9" w:fontKey="{6EBB76B1-BEAC-C341-B1D1-0E3CDE38EFE0}"/>
    <w:embedBoldItalic r:id="rId10" w:fontKey="{D2E7C026-DE9B-C549-AB24-4D3A415BDC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8E4C0700-4D65-6848-9D79-984C7408C9FE}"/>
    <w:embedBold r:id="rId12" w:fontKey="{C4F6C6BC-0084-CC47-A610-887D8997A59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Italic r:id="rId13" w:fontKey="{FF700B6B-3891-734F-A32E-8E94D7B1E2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7D6A2604-28B6-384E-8D6C-520EFB565E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9326E846-4E21-1944-BF04-F6AD8B59A0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48515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0EB265E7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CFC03BD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B286C0A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8C57134" w14:textId="77777777" w:rsidR="00C118EE" w:rsidRDefault="0014712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DC36104" wp14:editId="4B6DCC77">
          <wp:simplePos x="0" y="0"/>
          <wp:positionH relativeFrom="column">
            <wp:posOffset>1</wp:posOffset>
          </wp:positionH>
          <wp:positionV relativeFrom="paragraph">
            <wp:posOffset>8816340</wp:posOffset>
          </wp:positionV>
          <wp:extent cx="6154420" cy="1304290"/>
          <wp:effectExtent l="0" t="0" r="0" b="0"/>
          <wp:wrapSquare wrapText="bothSides" distT="0" distB="0" distL="114300" distR="114300"/>
          <wp:docPr id="2" name="image1.png" descr="Une image contenant texte, capture d’écran, Police, noir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e image contenant texte, capture d’écran, Police, noir&#10;&#10;Description générée automatique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4420" cy="1304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94D339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63BEB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DB5702E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384CC6" w14:textId="77777777" w:rsidR="00402869" w:rsidRDefault="00402869">
      <w:r>
        <w:separator/>
      </w:r>
    </w:p>
  </w:footnote>
  <w:footnote w:type="continuationSeparator" w:id="0">
    <w:p w14:paraId="30A030D6" w14:textId="77777777" w:rsidR="00402869" w:rsidRDefault="00402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BE6B1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569DDDBB" w14:textId="77777777" w:rsidR="00C118EE" w:rsidRDefault="0014712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2B579A"/>
        <w:shd w:val="clear" w:color="auto" w:fill="E6E6E6"/>
      </w:rPr>
      <w:drawing>
        <wp:anchor distT="0" distB="0" distL="0" distR="0" simplePos="0" relativeHeight="251658240" behindDoc="1" locked="0" layoutInCell="1" hidden="0" allowOverlap="1" wp14:anchorId="2999E144" wp14:editId="0F63ABD2">
          <wp:simplePos x="0" y="0"/>
          <wp:positionH relativeFrom="page">
            <wp:posOffset>3503295</wp:posOffset>
          </wp:positionH>
          <wp:positionV relativeFrom="page">
            <wp:posOffset>455295</wp:posOffset>
          </wp:positionV>
          <wp:extent cx="850900" cy="743585"/>
          <wp:effectExtent l="0" t="0" r="0" b="0"/>
          <wp:wrapNone/>
          <wp:docPr id="3" name="image2.png" descr="Une image contenant logo, Police, Graphique, conception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ne image contenant logo, Police, Graphique, conception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090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30CD3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44FD6E3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35F3B34F" w14:textId="77777777" w:rsidR="00C118EE" w:rsidRDefault="00C118EE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6132A64E" w14:textId="77777777" w:rsidR="00C118EE" w:rsidRDefault="0014712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hidden="0" allowOverlap="1" wp14:anchorId="4E49CE5E" wp14:editId="007EBD86">
          <wp:simplePos x="0" y="0"/>
          <wp:positionH relativeFrom="page">
            <wp:posOffset>3476625</wp:posOffset>
          </wp:positionH>
          <wp:positionV relativeFrom="page">
            <wp:posOffset>800100</wp:posOffset>
          </wp:positionV>
          <wp:extent cx="850900" cy="743585"/>
          <wp:effectExtent l="0" t="0" r="0" b="0"/>
          <wp:wrapSquare wrapText="bothSides" distT="0" distB="0" distL="114300" distR="114300"/>
          <wp:docPr id="1" name="image2.png" descr="Une image contenant logo, Police, Graphique, conception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ne image contenant logo, Police, Graphique, conception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090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22D88C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26DA6760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23BC92BC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4560D5E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444B852C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2040C167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F484CC7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43B66F9F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48E4EDDE" w14:textId="77777777" w:rsidR="00C118EE" w:rsidRDefault="00C118E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18645F4" w14:textId="77777777" w:rsidR="00C118EE" w:rsidRDefault="00C118EE">
    <w:pPr>
      <w:pBdr>
        <w:top w:val="nil"/>
        <w:left w:val="nil"/>
        <w:bottom w:val="nil"/>
        <w:right w:val="nil"/>
        <w:between w:val="nil"/>
      </w:pBdr>
      <w:spacing w:line="32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907C91"/>
    <w:multiLevelType w:val="multilevel"/>
    <w:tmpl w:val="7728A6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3097F0D"/>
    <w:multiLevelType w:val="multilevel"/>
    <w:tmpl w:val="F02A31C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67666861">
    <w:abstractNumId w:val="0"/>
  </w:num>
  <w:num w:numId="2" w16cid:durableId="9760279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8EE"/>
    <w:rsid w:val="00003D4A"/>
    <w:rsid w:val="00016055"/>
    <w:rsid w:val="0006323A"/>
    <w:rsid w:val="0006523B"/>
    <w:rsid w:val="000708A6"/>
    <w:rsid w:val="00084A4C"/>
    <w:rsid w:val="000B4695"/>
    <w:rsid w:val="000E278C"/>
    <w:rsid w:val="000E2868"/>
    <w:rsid w:val="000E3483"/>
    <w:rsid w:val="00142159"/>
    <w:rsid w:val="0014712B"/>
    <w:rsid w:val="001844A8"/>
    <w:rsid w:val="001B25C9"/>
    <w:rsid w:val="001E2284"/>
    <w:rsid w:val="00246EC5"/>
    <w:rsid w:val="00252CAB"/>
    <w:rsid w:val="00255D25"/>
    <w:rsid w:val="00265547"/>
    <w:rsid w:val="002A772E"/>
    <w:rsid w:val="002F2753"/>
    <w:rsid w:val="003255A9"/>
    <w:rsid w:val="00333118"/>
    <w:rsid w:val="00353CE2"/>
    <w:rsid w:val="0035457B"/>
    <w:rsid w:val="003713C8"/>
    <w:rsid w:val="00371A5F"/>
    <w:rsid w:val="00376E0F"/>
    <w:rsid w:val="003804F2"/>
    <w:rsid w:val="003B342E"/>
    <w:rsid w:val="003E11C8"/>
    <w:rsid w:val="003F111F"/>
    <w:rsid w:val="003F7948"/>
    <w:rsid w:val="00400A1E"/>
    <w:rsid w:val="00402869"/>
    <w:rsid w:val="00404489"/>
    <w:rsid w:val="0041441B"/>
    <w:rsid w:val="004301B5"/>
    <w:rsid w:val="004451A2"/>
    <w:rsid w:val="004550F6"/>
    <w:rsid w:val="00457047"/>
    <w:rsid w:val="004630CE"/>
    <w:rsid w:val="00481880"/>
    <w:rsid w:val="00483B1D"/>
    <w:rsid w:val="0049098C"/>
    <w:rsid w:val="00494320"/>
    <w:rsid w:val="004C006F"/>
    <w:rsid w:val="005500B2"/>
    <w:rsid w:val="00564E2F"/>
    <w:rsid w:val="00573678"/>
    <w:rsid w:val="00585AE5"/>
    <w:rsid w:val="00594D16"/>
    <w:rsid w:val="005A0F10"/>
    <w:rsid w:val="00602041"/>
    <w:rsid w:val="0061481D"/>
    <w:rsid w:val="00631C11"/>
    <w:rsid w:val="0063348D"/>
    <w:rsid w:val="00652BC7"/>
    <w:rsid w:val="00654D84"/>
    <w:rsid w:val="0068380C"/>
    <w:rsid w:val="00683E16"/>
    <w:rsid w:val="00690AC0"/>
    <w:rsid w:val="006A443A"/>
    <w:rsid w:val="0071021A"/>
    <w:rsid w:val="00722742"/>
    <w:rsid w:val="007376F2"/>
    <w:rsid w:val="00767FC5"/>
    <w:rsid w:val="00773274"/>
    <w:rsid w:val="00786B59"/>
    <w:rsid w:val="008062CE"/>
    <w:rsid w:val="008445B4"/>
    <w:rsid w:val="008579E8"/>
    <w:rsid w:val="008741DB"/>
    <w:rsid w:val="00884523"/>
    <w:rsid w:val="008B3689"/>
    <w:rsid w:val="008C7F4B"/>
    <w:rsid w:val="008D2326"/>
    <w:rsid w:val="008F140C"/>
    <w:rsid w:val="009020CA"/>
    <w:rsid w:val="00927966"/>
    <w:rsid w:val="00942F80"/>
    <w:rsid w:val="00947D8E"/>
    <w:rsid w:val="00976575"/>
    <w:rsid w:val="00986297"/>
    <w:rsid w:val="00990F98"/>
    <w:rsid w:val="00992AB3"/>
    <w:rsid w:val="009B2907"/>
    <w:rsid w:val="009E008E"/>
    <w:rsid w:val="009E6F54"/>
    <w:rsid w:val="00A07DCC"/>
    <w:rsid w:val="00A43303"/>
    <w:rsid w:val="00A67C46"/>
    <w:rsid w:val="00AC6FA4"/>
    <w:rsid w:val="00B01D2C"/>
    <w:rsid w:val="00B07359"/>
    <w:rsid w:val="00B17171"/>
    <w:rsid w:val="00B32607"/>
    <w:rsid w:val="00B43714"/>
    <w:rsid w:val="00B75A0C"/>
    <w:rsid w:val="00B76B7C"/>
    <w:rsid w:val="00B80184"/>
    <w:rsid w:val="00B9646D"/>
    <w:rsid w:val="00BA1427"/>
    <w:rsid w:val="00BE3BDE"/>
    <w:rsid w:val="00C044F1"/>
    <w:rsid w:val="00C118EE"/>
    <w:rsid w:val="00C216CC"/>
    <w:rsid w:val="00C2326A"/>
    <w:rsid w:val="00C24E22"/>
    <w:rsid w:val="00C55DB8"/>
    <w:rsid w:val="00C74AB1"/>
    <w:rsid w:val="00C84F37"/>
    <w:rsid w:val="00CC6445"/>
    <w:rsid w:val="00CC6D5B"/>
    <w:rsid w:val="00D118A6"/>
    <w:rsid w:val="00D23A88"/>
    <w:rsid w:val="00DA5936"/>
    <w:rsid w:val="00DA59FA"/>
    <w:rsid w:val="00DB4EE2"/>
    <w:rsid w:val="00DD7C83"/>
    <w:rsid w:val="00DF1496"/>
    <w:rsid w:val="00DF1B13"/>
    <w:rsid w:val="00DF7D82"/>
    <w:rsid w:val="00E14960"/>
    <w:rsid w:val="00E226B2"/>
    <w:rsid w:val="00E30EAE"/>
    <w:rsid w:val="00E439C1"/>
    <w:rsid w:val="00E87765"/>
    <w:rsid w:val="00E95656"/>
    <w:rsid w:val="00EC4AD4"/>
    <w:rsid w:val="00EF1FCA"/>
    <w:rsid w:val="00EF61F3"/>
    <w:rsid w:val="00F074F5"/>
    <w:rsid w:val="00F374CF"/>
    <w:rsid w:val="00F7099C"/>
    <w:rsid w:val="00F751C9"/>
    <w:rsid w:val="00F87D93"/>
    <w:rsid w:val="00FC4BF4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0BE0"/>
  <w15:docId w15:val="{888E6367-9A3C-224B-8A61-63F37175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="Verdana" w:hAnsi="Verdana" w:cs="Verdana"/>
        <w:sz w:val="19"/>
        <w:szCs w:val="19"/>
        <w:lang w:val="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after="160" w:line="5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color w:val="050033"/>
      <w:sz w:val="54"/>
      <w:szCs w:val="54"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160"/>
      <w:jc w:val="center"/>
      <w:outlineLvl w:val="1"/>
    </w:pPr>
    <w:rPr>
      <w:b/>
      <w:bCs/>
      <w:color w:val="050033"/>
      <w:sz w:val="15"/>
      <w:szCs w:val="15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u w:val="singl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60" w:after="60"/>
      <w:outlineLvl w:val="3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1008" w:hanging="1008"/>
      <w:outlineLvl w:val="4"/>
    </w:pPr>
    <w:rPr>
      <w:rFonts w:ascii="Times New Roman" w:eastAsia="Times New Roman" w:hAnsi="Times New Roman" w:cs="Times New Roman"/>
      <w:color w:val="795623"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1152" w:hanging="1152"/>
      <w:outlineLvl w:val="5"/>
    </w:pPr>
    <w:rPr>
      <w:rFonts w:ascii="Times New Roman" w:eastAsia="Times New Roman" w:hAnsi="Times New Roman" w:cs="Times New Roman"/>
      <w:i/>
      <w:iCs/>
      <w:color w:val="795623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jc w:val="center"/>
    </w:pPr>
    <w:rPr>
      <w:b/>
      <w:bCs/>
      <w:color w:val="050033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483B1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A59F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59F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03D4A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3D4A"/>
  </w:style>
  <w:style w:type="paragraph" w:styleId="Piedepgina">
    <w:name w:val="footer"/>
    <w:basedOn w:val="Normal"/>
    <w:link w:val="PiedepginaCar"/>
    <w:uiPriority w:val="99"/>
    <w:unhideWhenUsed/>
    <w:rsid w:val="00003D4A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D4A"/>
  </w:style>
  <w:style w:type="character" w:styleId="Hipervnculovisitado">
    <w:name w:val="FollowedHyperlink"/>
    <w:basedOn w:val="Fuentedeprrafopredeter"/>
    <w:uiPriority w:val="99"/>
    <w:semiHidden/>
    <w:unhideWhenUsed/>
    <w:rsid w:val="00E87765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8C7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urismeconomics.com/" TargetMode="External"/><Relationship Id="rId13" Type="http://schemas.openxmlformats.org/officeDocument/2006/relationships/hyperlink" Target="https://twitter.com/Accor" TargetMode="External"/><Relationship Id="rId18" Type="http://schemas.openxmlformats.org/officeDocument/2006/relationships/hyperlink" Target="mailto:prensa@sergat.com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group.accor.com/en" TargetMode="External"/><Relationship Id="rId12" Type="http://schemas.openxmlformats.org/officeDocument/2006/relationships/hyperlink" Target="https://group.accor.com/fr-FR" TargetMode="External"/><Relationship Id="rId17" Type="http://schemas.openxmlformats.org/officeDocument/2006/relationships/hyperlink" Target="mailto:sara.lopezmorosetti@accor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iktok.com/@accor?lang=fr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roup.accor.com/fr-FR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acco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roup.accor.com/en/trends-insight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roup.accor.com/files/changing-face-europe-tourism-map-2036-from-change-to-opportunity-accor-report.pdf" TargetMode="External"/><Relationship Id="rId14" Type="http://schemas.openxmlformats.org/officeDocument/2006/relationships/hyperlink" Target="https://www.facebook.com/Accor/" TargetMode="External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5</Pages>
  <Words>1329</Words>
  <Characters>7454</Characters>
  <Application>Microsoft Office Word</Application>
  <DocSecurity>0</DocSecurity>
  <Lines>176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14</cp:revision>
  <dcterms:created xsi:type="dcterms:W3CDTF">2026-10-22T15:40:00Z</dcterms:created>
  <dcterms:modified xsi:type="dcterms:W3CDTF">2026-10-26T14:53:00Z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MediaServiceImageTags">
    <vt:lpwstr>MediaServiceImageTags</vt:lpwstr>
  </property>
  <property fmtid="{D5CDD505-2E9C-101B-9397-08002B2CF9AE}" pid="4" name="docLang">
    <vt:lpwstr>en</vt:lpwstr>
  </property>
  <property fmtid="{D5CDD505-2E9C-101B-9397-08002B2CF9AE}" pid="5" name="GrammarlyDocumentId">
    <vt:lpwstr>92c9d547-3a3e-418d-9b4f-c3ee967f6c7f</vt:lpwstr>
  </property>
</Properties>
</file>