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jc w:val="both"/>
        <w:rPr>
          <w:rFonts w:ascii="Century Gothic" w:cs="Century Gothic" w:eastAsia="Century Gothic" w:hAnsi="Century Gothic"/>
          <w:color w:val="000000"/>
          <w:sz w:val="18"/>
          <w:szCs w:val="18"/>
        </w:rPr>
      </w:pPr>
      <w:r w:rsidDel="00000000" w:rsidR="00000000" w:rsidRPr="00000000">
        <w:rPr>
          <w:rFonts w:ascii="Century Gothic" w:cs="Century Gothic" w:eastAsia="Century Gothic" w:hAnsi="Century Gothic"/>
          <w:color w:val="000000"/>
          <w:sz w:val="18"/>
          <w:szCs w:val="18"/>
          <w:rtl w:val="0"/>
        </w:rPr>
        <w:t xml:space="preserve">Contacto:</w:t>
      </w:r>
    </w:p>
    <w:p w:rsidR="00000000" w:rsidDel="00000000" w:rsidP="00000000" w:rsidRDefault="00000000" w:rsidRPr="00000000" w14:paraId="0000000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jc w:val="both"/>
        <w:rPr>
          <w:rFonts w:ascii="Century Gothic" w:cs="Century Gothic" w:eastAsia="Century Gothic" w:hAnsi="Century Gothic"/>
          <w:color w:val="000000"/>
          <w:sz w:val="18"/>
          <w:szCs w:val="18"/>
        </w:rPr>
      </w:pPr>
      <w:r w:rsidDel="00000000" w:rsidR="00000000" w:rsidRPr="00000000">
        <w:rPr>
          <w:rFonts w:ascii="Century Gothic" w:cs="Century Gothic" w:eastAsia="Century Gothic" w:hAnsi="Century Gothic"/>
          <w:color w:val="000000"/>
          <w:sz w:val="18"/>
          <w:szCs w:val="18"/>
          <w:rtl w:val="0"/>
        </w:rPr>
        <w:t xml:space="preserve">EMIRATES </w:t>
      </w:r>
    </w:p>
    <w:p w:rsidR="00000000" w:rsidDel="00000000" w:rsidP="00000000" w:rsidRDefault="00000000" w:rsidRPr="00000000" w14:paraId="0000000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jc w:val="both"/>
        <w:rPr>
          <w:rFonts w:ascii="Century Gothic" w:cs="Century Gothic" w:eastAsia="Century Gothic" w:hAnsi="Century Gothic"/>
          <w:color w:val="000000"/>
          <w:sz w:val="18"/>
          <w:szCs w:val="18"/>
        </w:rPr>
      </w:pPr>
      <w:r w:rsidDel="00000000" w:rsidR="00000000" w:rsidRPr="00000000">
        <w:rPr>
          <w:rFonts w:ascii="Century Gothic" w:cs="Century Gothic" w:eastAsia="Century Gothic" w:hAnsi="Century Gothic"/>
          <w:color w:val="000000"/>
          <w:sz w:val="18"/>
          <w:szCs w:val="18"/>
          <w:rtl w:val="0"/>
        </w:rPr>
        <w:t xml:space="preserve">Sergat </w:t>
      </w:r>
    </w:p>
    <w:p w:rsidR="00000000" w:rsidDel="00000000" w:rsidP="00000000" w:rsidRDefault="00000000" w:rsidRPr="00000000" w14:paraId="0000000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jc w:val="both"/>
        <w:rPr>
          <w:rFonts w:ascii="Century Gothic" w:cs="Century Gothic" w:eastAsia="Century Gothic" w:hAnsi="Century Gothic"/>
          <w:color w:val="000000"/>
          <w:sz w:val="18"/>
          <w:szCs w:val="18"/>
        </w:rPr>
      </w:pPr>
      <w:r w:rsidDel="00000000" w:rsidR="00000000" w:rsidRPr="00000000">
        <w:rPr>
          <w:rFonts w:ascii="Century Gothic" w:cs="Century Gothic" w:eastAsia="Century Gothic" w:hAnsi="Century Gothic"/>
          <w:color w:val="000000"/>
          <w:sz w:val="18"/>
          <w:szCs w:val="18"/>
          <w:rtl w:val="0"/>
        </w:rPr>
        <w:t xml:space="preserve">Teléfono: 93 414 02 10</w:t>
      </w:r>
    </w:p>
    <w:p w:rsidR="00000000" w:rsidDel="00000000" w:rsidP="00000000" w:rsidRDefault="00000000" w:rsidRPr="00000000" w14:paraId="0000000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jc w:val="both"/>
        <w:rPr>
          <w:rFonts w:ascii="Cambria" w:cs="Cambria" w:eastAsia="Cambria" w:hAnsi="Cambria"/>
          <w:color w:val="000000"/>
        </w:rPr>
      </w:pPr>
      <w:r w:rsidDel="00000000" w:rsidR="00000000" w:rsidRPr="00000000">
        <w:rPr>
          <w:rFonts w:ascii="Century Gothic" w:cs="Century Gothic" w:eastAsia="Century Gothic" w:hAnsi="Century Gothic"/>
          <w:color w:val="000000"/>
          <w:sz w:val="18"/>
          <w:szCs w:val="18"/>
          <w:rtl w:val="0"/>
        </w:rPr>
        <w:t xml:space="preserve">Correo electrónico: </w:t>
      </w:r>
      <w:r w:rsidDel="00000000" w:rsidR="00000000" w:rsidRPr="00000000">
        <w:rPr>
          <w:rFonts w:ascii="Century Gothic" w:cs="Century Gothic" w:eastAsia="Century Gothic" w:hAnsi="Century Gothic"/>
          <w:color w:val="0000ff"/>
          <w:sz w:val="18"/>
          <w:szCs w:val="18"/>
          <w:rtl w:val="0"/>
        </w:rPr>
        <w:t xml:space="preserve">prensa@sergat.com 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jc w:val="center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280" w:line="360" w:lineRule="auto"/>
        <w:jc w:val="center"/>
        <w:rPr>
          <w:rFonts w:ascii="Century Gothic" w:cs="Century Gothic" w:eastAsia="Century Gothic" w:hAnsi="Century Gothic"/>
          <w:b w:val="1"/>
          <w:bCs w:val="1"/>
        </w:rPr>
      </w:pPr>
      <w:r w:rsidDel="00000000" w:rsidR="00000000" w:rsidRPr="00000000">
        <w:rPr>
          <w:rFonts w:ascii="Century Gothic" w:cs="Century Gothic" w:eastAsia="Century Gothic" w:hAnsi="Century Gothic"/>
          <w:b w:val="1"/>
          <w:bCs w:val="1"/>
          <w:rtl w:val="0"/>
        </w:rPr>
        <w:t xml:space="preserve">Emirates SkyCargo lanza AI Tech para transportar la infraestructura que impulsa la inteligencia artificial</w:t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before="280" w:line="360" w:lineRule="auto"/>
        <w:ind w:left="720" w:right="0" w:hanging="360"/>
        <w:jc w:val="center"/>
        <w:rPr>
          <w:rFonts w:ascii="Century Gothic" w:cs="Century Gothic" w:eastAsia="Century Gothic" w:hAnsi="Century Gothic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entury Gothic" w:cs="Century Gothic" w:eastAsia="Century Gothic" w:hAnsi="Century Gothic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Un producto específico que combina carga prioritaria, monitorización proactiva de los envíos y seguimiento por hitos para el </w:t>
      </w:r>
      <w:r w:rsidDel="00000000" w:rsidR="00000000" w:rsidRPr="00000000">
        <w:rPr>
          <w:rFonts w:ascii="Century Gothic" w:cs="Century Gothic" w:eastAsia="Century Gothic" w:hAnsi="Century Gothic"/>
          <w:b w:val="0"/>
          <w:bCs w:val="0"/>
          <w:i w:val="1"/>
          <w:iCs w:val="1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hardware</w:t>
      </w:r>
      <w:r w:rsidDel="00000000" w:rsidR="00000000" w:rsidRPr="00000000">
        <w:rPr>
          <w:rFonts w:ascii="Century Gothic" w:cs="Century Gothic" w:eastAsia="Century Gothic" w:hAnsi="Century Gothic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de IA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beforeAutospacing="0" w:line="360" w:lineRule="auto"/>
        <w:ind w:left="720" w:right="0" w:hanging="360"/>
        <w:jc w:val="center"/>
        <w:rPr>
          <w:rFonts w:ascii="Century Gothic" w:cs="Century Gothic" w:eastAsia="Century Gothic" w:hAnsi="Century Gothic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entury Gothic" w:cs="Century Gothic" w:eastAsia="Century Gothic" w:hAnsi="Century Gothic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Facilita un despliegue rápido y fiable de infraestructura de IA en todo el mundo</w:t>
      </w:r>
    </w:p>
    <w:p w:rsidR="00000000" w:rsidDel="00000000" w:rsidP="00000000" w:rsidRDefault="00000000" w:rsidRPr="00000000" w14:paraId="0000000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280" w:line="360" w:lineRule="auto"/>
        <w:jc w:val="both"/>
        <w:rPr>
          <w:rFonts w:ascii="Century Gothic" w:cs="Century Gothic" w:eastAsia="Century Gothic" w:hAnsi="Century Gothic"/>
          <w:sz w:val="22"/>
          <w:szCs w:val="22"/>
        </w:rPr>
      </w:pPr>
      <w:r w:rsidDel="00000000" w:rsidR="00000000" w:rsidRPr="00000000">
        <w:rPr>
          <w:rFonts w:ascii="Century Gothic" w:cs="Century Gothic" w:eastAsia="Century Gothic" w:hAnsi="Century Gothic"/>
          <w:b w:val="1"/>
          <w:bCs w:val="1"/>
          <w:sz w:val="22"/>
          <w:szCs w:val="22"/>
          <w:rtl w:val="0"/>
        </w:rPr>
        <w:t xml:space="preserve">Dubái, EAU, 3 de noviembre de 2026:</w:t>
      </w:r>
      <w:r w:rsidDel="00000000" w:rsidR="00000000" w:rsidRPr="00000000">
        <w:rPr>
          <w:rFonts w:ascii="Century Gothic" w:cs="Century Gothic" w:eastAsia="Century Gothic" w:hAnsi="Century Gothic"/>
          <w:sz w:val="22"/>
          <w:szCs w:val="22"/>
          <w:rtl w:val="0"/>
        </w:rPr>
        <w:t xml:space="preserve"> Emirates SkyCargo ha lanzado AI Tech, un producto específico diseñado para ayudar a sus clientes a transportar infraestructura de IA crítica y sensible de forma segura y puntual. Pensado para </w:t>
      </w:r>
      <w:r w:rsidDel="00000000" w:rsidR="00000000" w:rsidRPr="00000000">
        <w:rPr>
          <w:rFonts w:ascii="Century Gothic" w:cs="Century Gothic" w:eastAsia="Century Gothic" w:hAnsi="Century Gothic"/>
          <w:i w:val="1"/>
          <w:iCs w:val="1"/>
          <w:sz w:val="22"/>
          <w:szCs w:val="22"/>
          <w:rtl w:val="0"/>
        </w:rPr>
        <w:t xml:space="preserve">racks</w:t>
      </w:r>
      <w:r w:rsidDel="00000000" w:rsidR="00000000" w:rsidRPr="00000000">
        <w:rPr>
          <w:rFonts w:ascii="Century Gothic" w:cs="Century Gothic" w:eastAsia="Century Gothic" w:hAnsi="Century Gothic"/>
          <w:sz w:val="22"/>
          <w:szCs w:val="22"/>
          <w:rtl w:val="0"/>
        </w:rPr>
        <w:t xml:space="preserve"> de servidores de IA, semiconductores, GPU, bienes de equipo y </w:t>
      </w:r>
      <w:r w:rsidDel="00000000" w:rsidR="00000000" w:rsidRPr="00000000">
        <w:rPr>
          <w:rFonts w:ascii="Century Gothic" w:cs="Century Gothic" w:eastAsia="Century Gothic" w:hAnsi="Century Gothic"/>
          <w:i w:val="1"/>
          <w:iCs w:val="1"/>
          <w:sz w:val="22"/>
          <w:szCs w:val="22"/>
          <w:rtl w:val="0"/>
        </w:rPr>
        <w:t xml:space="preserve">hardware</w:t>
      </w:r>
      <w:r w:rsidDel="00000000" w:rsidR="00000000" w:rsidRPr="00000000">
        <w:rPr>
          <w:rFonts w:ascii="Century Gothic" w:cs="Century Gothic" w:eastAsia="Century Gothic" w:hAnsi="Century Gothic"/>
          <w:sz w:val="22"/>
          <w:szCs w:val="22"/>
          <w:rtl w:val="0"/>
        </w:rPr>
        <w:t xml:space="preserve"> de infraestructura crítico, el producto combina carga prioritaria, manipulación especializada y una monitorización proactiva de los envíos desde el centro de control de Emirates SkyCargo en Dubái, para que los calendarios de despliegue se cumplan.</w:t>
      </w:r>
    </w:p>
    <w:p w:rsidR="00000000" w:rsidDel="00000000" w:rsidP="00000000" w:rsidRDefault="00000000" w:rsidRPr="00000000" w14:paraId="0000000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280" w:line="360" w:lineRule="auto"/>
        <w:jc w:val="both"/>
        <w:rPr>
          <w:rFonts w:ascii="Century Gothic" w:cs="Century Gothic" w:eastAsia="Century Gothic" w:hAnsi="Century Gothic"/>
          <w:sz w:val="22"/>
          <w:szCs w:val="22"/>
        </w:rPr>
      </w:pPr>
      <w:r w:rsidDel="00000000" w:rsidR="00000000" w:rsidRPr="00000000">
        <w:rPr>
          <w:rFonts w:ascii="Century Gothic" w:cs="Century Gothic" w:eastAsia="Century Gothic" w:hAnsi="Century Gothic"/>
          <w:sz w:val="22"/>
          <w:szCs w:val="22"/>
          <w:rtl w:val="0"/>
        </w:rPr>
        <w:t xml:space="preserve">Con la creciente sofisticación de los sistemas de computación y procesamiento en todo el mundo y la adopción acelerada de las tecnologías de IA, el transporte de equipos tecnológicos se ha vuelto cada vez más complejo. Los despliegues a gran escala suelen implicar carga de alto valor, plazos muy ajustados y requisitos de manipulación especializados. AI Tech ofrece a los clientes una solución logística específica, respaldada por procedimientos operativos estandarizados a nivel global que incluyen carga prioritaria, una supervisión reforzada de los envíos y una coordinación proactiva con el cliente durante todo el trayecto.</w:t>
      </w:r>
    </w:p>
    <w:p w:rsidR="00000000" w:rsidDel="00000000" w:rsidP="00000000" w:rsidRDefault="00000000" w:rsidRPr="00000000" w14:paraId="0000000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280" w:line="360" w:lineRule="auto"/>
        <w:jc w:val="both"/>
        <w:rPr>
          <w:rFonts w:ascii="Century Gothic" w:cs="Century Gothic" w:eastAsia="Century Gothic" w:hAnsi="Century Gothic"/>
          <w:sz w:val="22"/>
          <w:szCs w:val="22"/>
        </w:rPr>
      </w:pPr>
      <w:r w:rsidDel="00000000" w:rsidR="00000000" w:rsidRPr="00000000">
        <w:rPr>
          <w:rFonts w:ascii="Century Gothic" w:cs="Century Gothic" w:eastAsia="Century Gothic" w:hAnsi="Century Gothic"/>
          <w:sz w:val="22"/>
          <w:szCs w:val="22"/>
          <w:rtl w:val="0"/>
        </w:rPr>
        <w:t xml:space="preserve">Badr Abbas, vicepresidente sénior de la división de Emirates SkyCargo, declara: “Detrás de cada avance en IA hay una infraestructura física que tiene que llegar de forma segura y a tiempo. AI Tech está diseñado para dar a los clientes la confianza de que sus equipos críticos se moverán sin contratiempos por nuestra red, con el respaldo de una supervisión operativa y una comunicación proactiva. Solo en julio transportamos más de 700 toneladas de infraestructura de IA a través de nuestra red global, y la demanda no ha dejado de crecer. A medida que este sector se expande, nuestra ambición es convertirnos en la aerolínea de carga de referencia para las empresas que operan en todo el ecosistema de la IA”.</w:t>
      </w:r>
    </w:p>
    <w:p w:rsidR="00000000" w:rsidDel="00000000" w:rsidP="00000000" w:rsidRDefault="00000000" w:rsidRPr="00000000" w14:paraId="0000000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280" w:line="360" w:lineRule="auto"/>
        <w:jc w:val="both"/>
        <w:rPr>
          <w:rFonts w:ascii="Century Gothic" w:cs="Century Gothic" w:eastAsia="Century Gothic" w:hAnsi="Century Gothic"/>
          <w:sz w:val="22"/>
          <w:szCs w:val="22"/>
        </w:rPr>
      </w:pPr>
      <w:r w:rsidDel="00000000" w:rsidR="00000000" w:rsidRPr="00000000">
        <w:rPr>
          <w:rFonts w:ascii="Century Gothic" w:cs="Century Gothic" w:eastAsia="Century Gothic" w:hAnsi="Century Gothic"/>
          <w:sz w:val="22"/>
          <w:szCs w:val="22"/>
          <w:rtl w:val="0"/>
        </w:rPr>
        <w:t xml:space="preserve">Entre las principales características de AI Tech de Emirates SkyCargo se incluyen:</w:t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80" w:line="360" w:lineRule="auto"/>
        <w:ind w:left="720" w:right="0" w:hanging="360"/>
        <w:jc w:val="both"/>
        <w:rPr>
          <w:rFonts w:ascii="Century Gothic" w:cs="Century Gothic" w:eastAsia="Century Gothic" w:hAnsi="Century Gothic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entury Gothic" w:cs="Century Gothic" w:eastAsia="Century Gothic" w:hAnsi="Century Gothic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Procedimientos de manipulación específicos y estandarizados a nivel global para mantener la orientación de los equipos y minimizar el riesgo de daños.</w:t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hanging="360"/>
        <w:jc w:val="both"/>
        <w:rPr>
          <w:rFonts w:ascii="Century Gothic" w:cs="Century Gothic" w:eastAsia="Century Gothic" w:hAnsi="Century Gothic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entury Gothic" w:cs="Century Gothic" w:eastAsia="Century Gothic" w:hAnsi="Century Gothic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Carga y programación prioritarias para despliegues en los que el tiempo es crítico.</w:t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hanging="360"/>
        <w:jc w:val="both"/>
        <w:rPr>
          <w:rFonts w:ascii="Century Gothic" w:cs="Century Gothic" w:eastAsia="Century Gothic" w:hAnsi="Century Gothic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entury Gothic" w:cs="Century Gothic" w:eastAsia="Century Gothic" w:hAnsi="Century Gothic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Visibilidad del envío de aeropuerto a aeropuerto, con actualizaciones por hitos supervisadas desde el centro de control de Emirates SkyCargo en Dubái.</w:t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hanging="360"/>
        <w:jc w:val="both"/>
        <w:rPr>
          <w:rFonts w:ascii="Century Gothic" w:cs="Century Gothic" w:eastAsia="Century Gothic" w:hAnsi="Century Gothic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entury Gothic" w:cs="Century Gothic" w:eastAsia="Century Gothic" w:hAnsi="Century Gothic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Comunicación y coordinación </w:t>
      </w:r>
      <w:r w:rsidDel="00000000" w:rsidR="00000000" w:rsidRPr="00000000">
        <w:rPr>
          <w:rFonts w:ascii="Century Gothic" w:cs="Century Gothic" w:eastAsia="Century Gothic" w:hAnsi="Century Gothic"/>
          <w:sz w:val="22"/>
          <w:szCs w:val="22"/>
          <w:rtl w:val="0"/>
        </w:rPr>
        <w:t xml:space="preserve">proactiva</w:t>
      </w:r>
      <w:r w:rsidDel="00000000" w:rsidR="00000000" w:rsidRPr="00000000">
        <w:rPr>
          <w:rFonts w:ascii="Century Gothic" w:cs="Century Gothic" w:eastAsia="Century Gothic" w:hAnsi="Century Gothic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con el cliente durante todo el recorrido del envío.</w:t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hanging="360"/>
        <w:jc w:val="both"/>
        <w:rPr>
          <w:rFonts w:ascii="Century Gothic" w:cs="Century Gothic" w:eastAsia="Century Gothic" w:hAnsi="Century Gothic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entury Gothic" w:cs="Century Gothic" w:eastAsia="Century Gothic" w:hAnsi="Century Gothic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Soporte especializado de carga de proyectos para mercancías sobredimensionadas y pesadas.</w:t>
      </w:r>
    </w:p>
    <w:p w:rsidR="00000000" w:rsidDel="00000000" w:rsidP="00000000" w:rsidRDefault="00000000" w:rsidRPr="00000000" w14:paraId="0000001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280" w:line="360" w:lineRule="auto"/>
        <w:jc w:val="both"/>
        <w:rPr>
          <w:rFonts w:ascii="Century Gothic" w:cs="Century Gothic" w:eastAsia="Century Gothic" w:hAnsi="Century Gothic"/>
          <w:sz w:val="22"/>
          <w:szCs w:val="22"/>
        </w:rPr>
      </w:pPr>
      <w:r w:rsidDel="00000000" w:rsidR="00000000" w:rsidRPr="00000000">
        <w:rPr>
          <w:rFonts w:ascii="Century Gothic" w:cs="Century Gothic" w:eastAsia="Century Gothic" w:hAnsi="Century Gothic"/>
          <w:sz w:val="22"/>
          <w:szCs w:val="22"/>
          <w:rtl w:val="0"/>
        </w:rPr>
        <w:t xml:space="preserve">Emirates SkyCargo ha desarrollado AI Tech a partir de su experiencia práctica en el transporte de </w:t>
      </w:r>
      <w:r w:rsidDel="00000000" w:rsidR="00000000" w:rsidRPr="00000000">
        <w:rPr>
          <w:rFonts w:ascii="Century Gothic" w:cs="Century Gothic" w:eastAsia="Century Gothic" w:hAnsi="Century Gothic"/>
          <w:i w:val="1"/>
          <w:iCs w:val="1"/>
          <w:sz w:val="22"/>
          <w:szCs w:val="22"/>
          <w:rtl w:val="0"/>
        </w:rPr>
        <w:t xml:space="preserve">hardware</w:t>
      </w:r>
      <w:r w:rsidDel="00000000" w:rsidR="00000000" w:rsidRPr="00000000">
        <w:rPr>
          <w:rFonts w:ascii="Century Gothic" w:cs="Century Gothic" w:eastAsia="Century Gothic" w:hAnsi="Century Gothic"/>
          <w:sz w:val="22"/>
          <w:szCs w:val="22"/>
          <w:rtl w:val="0"/>
        </w:rPr>
        <w:t xml:space="preserve"> relacionado con la IA a través de su red, entre centros de fabricación y los principales mercados tecnológicos. AI Tech está disponible en toda la red global de Emirates SkyCargo para la mayoría de la carga relacionada con la IA, como semiconductores, chips y </w:t>
      </w:r>
      <w:r w:rsidDel="00000000" w:rsidR="00000000" w:rsidRPr="00000000">
        <w:rPr>
          <w:rFonts w:ascii="Century Gothic" w:cs="Century Gothic" w:eastAsia="Century Gothic" w:hAnsi="Century Gothic"/>
          <w:i w:val="1"/>
          <w:iCs w:val="1"/>
          <w:sz w:val="22"/>
          <w:szCs w:val="22"/>
          <w:rtl w:val="0"/>
        </w:rPr>
        <w:t xml:space="preserve">racks</w:t>
      </w:r>
      <w:r w:rsidDel="00000000" w:rsidR="00000000" w:rsidRPr="00000000">
        <w:rPr>
          <w:rFonts w:ascii="Century Gothic" w:cs="Century Gothic" w:eastAsia="Century Gothic" w:hAnsi="Century Gothic"/>
          <w:sz w:val="22"/>
          <w:szCs w:val="22"/>
          <w:rtl w:val="0"/>
        </w:rPr>
        <w:t xml:space="preserve"> de servidores. En el caso de equipos de fabricación altamente especializados, se realizan con antelación evaluaciones de la capacidad de cada estación para garantizar que los requisitos del envío puedan atenderse con seguridad.</w:t>
      </w:r>
    </w:p>
    <w:p w:rsidR="00000000" w:rsidDel="00000000" w:rsidP="00000000" w:rsidRDefault="00000000" w:rsidRPr="00000000" w14:paraId="0000001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280" w:line="360" w:lineRule="auto"/>
        <w:jc w:val="both"/>
        <w:rPr>
          <w:rFonts w:ascii="Century Gothic" w:cs="Century Gothic" w:eastAsia="Century Gothic" w:hAnsi="Century Gothic"/>
          <w:sz w:val="22"/>
          <w:szCs w:val="22"/>
        </w:rPr>
      </w:pPr>
      <w:r w:rsidDel="00000000" w:rsidR="00000000" w:rsidRPr="00000000">
        <w:rPr>
          <w:rFonts w:ascii="Century Gothic" w:cs="Century Gothic" w:eastAsia="Century Gothic" w:hAnsi="Century Gothic"/>
          <w:sz w:val="22"/>
          <w:szCs w:val="22"/>
          <w:rtl w:val="0"/>
        </w:rPr>
        <w:t xml:space="preserve">AI Tech cuenta con el respaldo de la amplia flota y la red global de Emirates SkyCargo. Para marzo de 2027, la aerolínea operará una flota de 23 cargueros dedicados, que aportan una valiosa capacidad en la cubierta principal para transportar </w:t>
      </w:r>
      <w:r w:rsidDel="00000000" w:rsidR="00000000" w:rsidRPr="00000000">
        <w:rPr>
          <w:rFonts w:ascii="Century Gothic" w:cs="Century Gothic" w:eastAsia="Century Gothic" w:hAnsi="Century Gothic"/>
          <w:i w:val="1"/>
          <w:iCs w:val="1"/>
          <w:sz w:val="22"/>
          <w:szCs w:val="22"/>
          <w:rtl w:val="0"/>
        </w:rPr>
        <w:t xml:space="preserve">racks</w:t>
      </w:r>
      <w:r w:rsidDel="00000000" w:rsidR="00000000" w:rsidRPr="00000000">
        <w:rPr>
          <w:rFonts w:ascii="Century Gothic" w:cs="Century Gothic" w:eastAsia="Century Gothic" w:hAnsi="Century Gothic"/>
          <w:sz w:val="22"/>
          <w:szCs w:val="22"/>
          <w:rtl w:val="0"/>
        </w:rPr>
        <w:t xml:space="preserve"> de servidores altos y densos, que a menudo superan las 3,5 toneladas. Además de su flota de cargueros, Emirates SkyCargo también ofrece capacidad en sus aviones de pasajeros de fuselaje ancho.</w:t>
      </w:r>
    </w:p>
    <w:p w:rsidR="00000000" w:rsidDel="00000000" w:rsidP="00000000" w:rsidRDefault="00000000" w:rsidRPr="00000000" w14:paraId="0000001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280" w:line="360" w:lineRule="auto"/>
        <w:jc w:val="both"/>
        <w:rPr>
          <w:rFonts w:ascii="Century Gothic" w:cs="Century Gothic" w:eastAsia="Century Gothic" w:hAnsi="Century Gothic"/>
          <w:b w:val="1"/>
          <w:bCs w:val="1"/>
          <w:i w:val="1"/>
          <w:iCs w:val="1"/>
          <w:color w:val="000000"/>
          <w:sz w:val="18"/>
          <w:szCs w:val="18"/>
        </w:rPr>
      </w:pPr>
      <w:r w:rsidDel="00000000" w:rsidR="00000000" w:rsidRPr="00000000">
        <w:rPr>
          <w:rFonts w:ascii="Century Gothic" w:cs="Century Gothic" w:eastAsia="Century Gothic" w:hAnsi="Century Gothic"/>
          <w:sz w:val="22"/>
          <w:szCs w:val="22"/>
          <w:rtl w:val="0"/>
        </w:rPr>
        <w:t xml:space="preserve">Gracias a su amplia experiencia en el transporte de tecnología y carga de alto valor en todo el mundo, AI Tech refuerza el compromiso de Emirates SkyCargo de responder a las necesidades en rápida evolución del sector de la IA con una solución logística basada en la rapidez, la fiabilidad, la visibilidad y la manipulación especializada.</w:t>
      </w:r>
      <w:r w:rsidDel="00000000" w:rsidR="00000000" w:rsidRPr="00000000">
        <w:rPr>
          <w:rtl w:val="0"/>
        </w:rPr>
      </w:r>
    </w:p>
    <w:sectPr>
      <w:headerReference r:id="rId7" w:type="default"/>
      <w:pgSz w:h="16840" w:w="11900" w:orient="portrait"/>
      <w:pgMar w:bottom="734" w:top="1417" w:left="1276" w:right="1268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Cambria"/>
  <w:font w:name="Century Gothic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6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right" w:leader="none" w:pos="8478"/>
      </w:tabs>
      <w:spacing w:after="200" w:lineRule="auto"/>
      <w:rPr>
        <w:rFonts w:ascii="Cambria" w:cs="Cambria" w:eastAsia="Cambria" w:hAnsi="Cambria"/>
        <w:color w:val="000000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0" distT="0" distL="0" distR="0" hidden="0" layoutInCell="1" locked="0" relativeHeight="0" simplePos="0">
          <wp:simplePos x="0" y="0"/>
          <wp:positionH relativeFrom="column">
            <wp:posOffset>0</wp:posOffset>
          </wp:positionH>
          <wp:positionV relativeFrom="paragraph">
            <wp:posOffset>0</wp:posOffset>
          </wp:positionV>
          <wp:extent cx="2073275" cy="1430655"/>
          <wp:effectExtent b="0" l="0" r="0" t="0"/>
          <wp:wrapSquare wrapText="bothSides" distB="0" distT="0" distL="0" distR="0"/>
          <wp:docPr id="3" name="image1.jpg"/>
          <a:graphic>
            <a:graphicData uri="http://schemas.openxmlformats.org/drawingml/2006/picture">
              <pic:pic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2073275" cy="1430655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17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right" w:leader="none" w:pos="8478"/>
      </w:tabs>
      <w:spacing w:after="200" w:lineRule="auto"/>
      <w:rPr>
        <w:rFonts w:ascii="Cambria" w:cs="Cambria" w:eastAsia="Cambria" w:hAnsi="Cambria"/>
        <w:color w:val="000000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8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right" w:leader="none" w:pos="8478"/>
      </w:tabs>
      <w:spacing w:after="200" w:lineRule="auto"/>
      <w:rPr>
        <w:rFonts w:ascii="Cambria" w:cs="Cambria" w:eastAsia="Cambria" w:hAnsi="Cambria"/>
        <w:color w:val="000000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9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right" w:leader="none" w:pos="8478"/>
      </w:tabs>
      <w:spacing w:after="200" w:lineRule="auto"/>
      <w:rPr>
        <w:rFonts w:ascii="Cambria" w:cs="Cambria" w:eastAsia="Cambria" w:hAnsi="Cambria"/>
        <w:color w:val="000000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A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right" w:leader="none" w:pos="8478"/>
      </w:tabs>
      <w:spacing w:after="200" w:lineRule="auto"/>
      <w:rPr>
        <w:rFonts w:ascii="Cambria" w:cs="Cambria" w:eastAsia="Cambria" w:hAnsi="Cambria"/>
        <w:color w:val="000000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B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right" w:leader="none" w:pos="8478"/>
      </w:tabs>
      <w:spacing w:after="200" w:lineRule="auto"/>
      <w:rPr>
        <w:rFonts w:ascii="Cambria" w:cs="Cambria" w:eastAsia="Cambria" w:hAnsi="Cambria"/>
        <w:color w:val="000000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es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120" w:before="480" w:lineRule="auto"/>
    </w:pPr>
    <w:rPr>
      <w:b w:val="1"/>
      <w:bCs w:val="1"/>
      <w:color w:val="000000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80" w:before="360" w:lineRule="auto"/>
    </w:pPr>
    <w:rPr>
      <w:b w:val="1"/>
      <w:bCs w:val="1"/>
      <w:color w:val="000000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80" w:before="280" w:lineRule="auto"/>
    </w:pPr>
    <w:rPr>
      <w:b w:val="1"/>
      <w:bCs w:val="1"/>
      <w:color w:val="000000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40" w:before="240" w:lineRule="auto"/>
    </w:pPr>
    <w:rPr>
      <w:b w:val="1"/>
      <w:bCs w:val="1"/>
      <w:color w:val="000000"/>
    </w:rPr>
  </w:style>
  <w:style w:type="paragraph" w:styleId="Heading5">
    <w:name w:val="heading 5"/>
    <w:basedOn w:val="Normal"/>
    <w:next w:val="Normal"/>
    <w:pPr>
      <w:keepNext w:val="1"/>
      <w:keepLines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40" w:before="220" w:lineRule="auto"/>
    </w:pPr>
    <w:rPr>
      <w:b w:val="1"/>
      <w:bCs w:val="1"/>
      <w:color w:val="000000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40" w:before="200" w:lineRule="auto"/>
    </w:pPr>
    <w:rPr>
      <w:b w:val="1"/>
      <w:bCs w:val="1"/>
      <w:color w:val="000000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120" w:before="480" w:lineRule="auto"/>
    </w:pPr>
    <w:rPr>
      <w:b w:val="1"/>
      <w:bCs w:val="1"/>
      <w:color w:val="000000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character" w:styleId="Fuentedeprrafopredeter" w:default="1">
    <w:name w:val="Default Paragraph Font"/>
    <w:uiPriority w:val="1"/>
    <w:semiHidden w:val="1"/>
    <w:unhideWhenUsed w:val="1"/>
  </w:style>
  <w:style w:type="table" w:styleId="Tabla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inlista" w:default="1">
    <w:name w:val="No List"/>
    <w:uiPriority w:val="99"/>
    <w:semiHidden w:val="1"/>
    <w:unhideWhenUsed w:val="1"/>
  </w:style>
  <w:style w:type="table" w:styleId="TableNormal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0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a" w:customStyle="1">
    <w:basedOn w:val="TableNormal0"/>
    <w:tblPr>
      <w:tblStyleRowBandSize w:val="1"/>
      <w:tblStyleColBandSize w:val="1"/>
    </w:tblPr>
  </w:style>
  <w:style w:type="paragraph" w:styleId="Prrafodelista">
    <w:name w:val="List Paragraph"/>
    <w:aliases w:val="numbered,Paragraphe de liste1,Bullet List,FooterText"/>
    <w:basedOn w:val="Normal"/>
    <w:link w:val="PrrafodelistaCar"/>
    <w:uiPriority w:val="34"/>
    <w:qFormat w:val="1"/>
    <w:rsid w:val="004348AD"/>
    <w:pPr>
      <w:ind w:left="720"/>
      <w:contextualSpacing w:val="1"/>
    </w:pPr>
  </w:style>
  <w:style w:type="character" w:styleId="Hipervnculo">
    <w:name w:val="Hyperlink"/>
    <w:basedOn w:val="Fuentedeprrafopredeter"/>
    <w:uiPriority w:val="99"/>
    <w:unhideWhenUsed w:val="1"/>
    <w:rsid w:val="00D15796"/>
    <w:rPr>
      <w:color w:val="0000ff" w:themeColor="hyperlink"/>
      <w:u w:val="single"/>
    </w:rPr>
  </w:style>
  <w:style w:type="character" w:styleId="Mencinsinresolver1" w:customStyle="1">
    <w:name w:val="Mención sin resolver1"/>
    <w:basedOn w:val="Fuentedeprrafopredeter"/>
    <w:uiPriority w:val="99"/>
    <w:semiHidden w:val="1"/>
    <w:unhideWhenUsed w:val="1"/>
    <w:rsid w:val="007E7562"/>
    <w:rPr>
      <w:color w:val="605e5c"/>
      <w:shd w:color="auto" w:fill="e1dfdd" w:val="clear"/>
    </w:rPr>
  </w:style>
  <w:style w:type="character" w:styleId="Hipervnculovisitado">
    <w:name w:val="FollowedHyperlink"/>
    <w:basedOn w:val="Fuentedeprrafopredeter"/>
    <w:uiPriority w:val="99"/>
    <w:semiHidden w:val="1"/>
    <w:unhideWhenUsed w:val="1"/>
    <w:rsid w:val="007E7562"/>
    <w:rPr>
      <w:color w:val="800080" w:themeColor="followedHyperlink"/>
      <w:u w:val="single"/>
    </w:rPr>
  </w:style>
  <w:style w:type="paragraph" w:styleId="Encabezado">
    <w:name w:val="header"/>
    <w:basedOn w:val="Normal"/>
    <w:link w:val="EncabezadoCar"/>
    <w:uiPriority w:val="99"/>
    <w:unhideWhenUsed w:val="1"/>
    <w:rsid w:val="003E7D4F"/>
    <w:pPr>
      <w:tabs>
        <w:tab w:val="center" w:pos="4252"/>
        <w:tab w:val="right" w:pos="8504"/>
      </w:tabs>
    </w:pPr>
  </w:style>
  <w:style w:type="character" w:styleId="EncabezadoCar" w:customStyle="1">
    <w:name w:val="Encabezado Car"/>
    <w:basedOn w:val="Fuentedeprrafopredeter"/>
    <w:link w:val="Encabezado"/>
    <w:uiPriority w:val="99"/>
    <w:rsid w:val="003E7D4F"/>
  </w:style>
  <w:style w:type="paragraph" w:styleId="Piedepgina">
    <w:name w:val="footer"/>
    <w:basedOn w:val="Normal"/>
    <w:link w:val="PiedepginaCar"/>
    <w:uiPriority w:val="99"/>
    <w:unhideWhenUsed w:val="1"/>
    <w:rsid w:val="003E7D4F"/>
    <w:pPr>
      <w:tabs>
        <w:tab w:val="center" w:pos="4252"/>
        <w:tab w:val="right" w:pos="8504"/>
      </w:tabs>
    </w:pPr>
  </w:style>
  <w:style w:type="character" w:styleId="PiedepginaCar" w:customStyle="1">
    <w:name w:val="Pie de página Car"/>
    <w:basedOn w:val="Fuentedeprrafopredeter"/>
    <w:link w:val="Piedepgina"/>
    <w:uiPriority w:val="99"/>
    <w:rsid w:val="003E7D4F"/>
  </w:style>
  <w:style w:type="paragraph" w:styleId="NormalWeb">
    <w:name w:val="Normal (Web)"/>
    <w:basedOn w:val="Normal"/>
    <w:uiPriority w:val="99"/>
    <w:unhideWhenUsed w:val="1"/>
    <w:rsid w:val="001863FF"/>
    <w:pPr>
      <w:spacing w:after="100" w:afterAutospacing="1" w:before="100" w:beforeAutospacing="1"/>
    </w:pPr>
    <w:rPr>
      <w:rFonts w:ascii="Calibri" w:cs="Calibri" w:hAnsi="Calibri" w:eastAsiaTheme="minorHAnsi"/>
      <w:sz w:val="22"/>
      <w:szCs w:val="22"/>
      <w:lang w:val="en-GB"/>
    </w:rPr>
  </w:style>
  <w:style w:type="character" w:styleId="Fuerte">
    <w:name w:val="Strong"/>
    <w:basedOn w:val="Fuentedeprrafopredeter"/>
    <w:uiPriority w:val="22"/>
    <w:qFormat w:val="1"/>
    <w:rsid w:val="009368A3"/>
    <w:rPr>
      <w:b w:val="1"/>
      <w:bCs w:val="1"/>
    </w:rPr>
  </w:style>
  <w:style w:type="character" w:styleId="Mencinsinresolver">
    <w:name w:val="Unresolved Mention"/>
    <w:basedOn w:val="Fuentedeprrafopredeter"/>
    <w:uiPriority w:val="99"/>
    <w:semiHidden w:val="1"/>
    <w:unhideWhenUsed w:val="1"/>
    <w:rsid w:val="005647D6"/>
    <w:rPr>
      <w:color w:val="605e5c"/>
      <w:shd w:color="auto" w:fill="e1dfdd" w:val="clear"/>
    </w:rPr>
  </w:style>
  <w:style w:type="paragraph" w:styleId="Textocomentario">
    <w:name w:val="annotation text"/>
    <w:basedOn w:val="Normal"/>
    <w:link w:val="TextocomentarioCar"/>
    <w:uiPriority w:val="99"/>
    <w:semiHidden w:val="1"/>
    <w:unhideWhenUsed w:val="1"/>
    <w:rsid w:val="005647D6"/>
    <w:pPr>
      <w:spacing w:after="160"/>
    </w:pPr>
    <w:rPr>
      <w:rFonts w:asciiTheme="minorHAnsi" w:cstheme="minorBidi" w:eastAsiaTheme="minorEastAsia" w:hAnsiTheme="minorHAnsi"/>
      <w:sz w:val="20"/>
      <w:szCs w:val="20"/>
      <w:lang w:eastAsia="zh-CN" w:val="en-GB"/>
    </w:rPr>
  </w:style>
  <w:style w:type="character" w:styleId="TextocomentarioCar" w:customStyle="1">
    <w:name w:val="Texto comentario Car"/>
    <w:basedOn w:val="Fuentedeprrafopredeter"/>
    <w:link w:val="Textocomentario"/>
    <w:uiPriority w:val="99"/>
    <w:semiHidden w:val="1"/>
    <w:rsid w:val="005647D6"/>
    <w:rPr>
      <w:rFonts w:asciiTheme="minorHAnsi" w:cstheme="minorBidi" w:eastAsiaTheme="minorEastAsia" w:hAnsiTheme="minorHAnsi"/>
      <w:sz w:val="20"/>
      <w:szCs w:val="20"/>
      <w:lang w:eastAsia="zh-CN" w:val="en-GB"/>
    </w:rPr>
  </w:style>
  <w:style w:type="character" w:styleId="PrrafodelistaCar" w:customStyle="1">
    <w:name w:val="Párrafo de lista Car"/>
    <w:aliases w:val="numbered Car,Paragraphe de liste1 Car,Bullet List Car,FooterText Car"/>
    <w:basedOn w:val="Fuentedeprrafopredeter"/>
    <w:link w:val="Prrafodelista"/>
    <w:uiPriority w:val="34"/>
    <w:locked w:val="1"/>
    <w:rsid w:val="005647D6"/>
  </w:style>
  <w:style w:type="character" w:styleId="wordsection1Char" w:customStyle="1">
    <w:name w:val="wordsection1 Char"/>
    <w:basedOn w:val="Fuentedeprrafopredeter"/>
    <w:link w:val="wordsection1"/>
    <w:uiPriority w:val="99"/>
    <w:locked w:val="1"/>
    <w:rsid w:val="005647D6"/>
    <w:rPr>
      <w:rFonts w:ascii="Calibri" w:cs="Calibri" w:hAnsi="Calibri"/>
    </w:rPr>
  </w:style>
  <w:style w:type="paragraph" w:styleId="wordsection1" w:customStyle="1">
    <w:name w:val="wordsection1"/>
    <w:basedOn w:val="Normal"/>
    <w:link w:val="wordsection1Char"/>
    <w:uiPriority w:val="99"/>
    <w:rsid w:val="005647D6"/>
    <w:rPr>
      <w:rFonts w:ascii="Calibri" w:cs="Calibri" w:hAnsi="Calibri"/>
    </w:rPr>
  </w:style>
  <w:style w:type="character" w:styleId="Refdecomentario">
    <w:name w:val="annotation reference"/>
    <w:basedOn w:val="Fuentedeprrafopredeter"/>
    <w:uiPriority w:val="99"/>
    <w:semiHidden w:val="1"/>
    <w:unhideWhenUsed w:val="1"/>
    <w:rsid w:val="005647D6"/>
    <w:rPr>
      <w:sz w:val="16"/>
      <w:szCs w:val="16"/>
    </w:rPr>
  </w:style>
  <w:style w:type="character" w:styleId="normaltextrun" w:customStyle="1">
    <w:name w:val="normaltextrun"/>
    <w:basedOn w:val="Fuentedeprrafopredeter"/>
    <w:rsid w:val="005647D6"/>
  </w:style>
  <w:style w:type="table" w:styleId="a0" w:customStyle="1">
    <w:basedOn w:val="TableNormal0"/>
    <w:tblPr>
      <w:tblStyleRowBandSize w:val="1"/>
      <w:tblStyleColBandSize w:val="1"/>
    </w:tblPr>
  </w:style>
  <w:style w:type="character" w:styleId="nfasis">
    <w:name w:val="Emphasis"/>
    <w:basedOn w:val="Fuentedeprrafopredeter"/>
    <w:uiPriority w:val="20"/>
    <w:qFormat w:val="1"/>
    <w:rsid w:val="000D6301"/>
    <w:rPr>
      <w:i w:val="1"/>
      <w:iCs w:val="1"/>
    </w:rPr>
  </w:style>
  <w:style w:type="paragraph" w:styleId="TableofFigures">
    <w:name w:val="table of figures"/>
    <w:basedOn w:val="Normal"/>
    <w:next w:val="Normal"/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CenturyGothic-regular.ttf"/><Relationship Id="rId2" Type="http://schemas.openxmlformats.org/officeDocument/2006/relationships/font" Target="fonts/CenturyGothic-bold.ttf"/><Relationship Id="rId3" Type="http://schemas.openxmlformats.org/officeDocument/2006/relationships/font" Target="fonts/CenturyGothic-italic.ttf"/><Relationship Id="rId4" Type="http://schemas.openxmlformats.org/officeDocument/2006/relationships/font" Target="fonts/CenturyGothic-boldItalic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HpqV3Fk+WVrTJ15sAvTCiV+yseA==">CgMxLjA4AHIhMVJQZnB6Y0haZllISm9xM0NXZUMybHM4bnFDNlFhWUhq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2026-11-03T10:43:00Z</dcterms:created>
  <dc:creator>Usuario</dc:creator>
</cp:coreProperties>
</file>