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709226" w14:textId="77777777" w:rsidR="00B06616"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Contacto:</w:t>
      </w:r>
    </w:p>
    <w:p w14:paraId="1CA3C4C7" w14:textId="77777777" w:rsidR="00B06616"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EMIRATES </w:t>
      </w:r>
    </w:p>
    <w:p w14:paraId="51C0BB44" w14:textId="77777777" w:rsidR="00B06616"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proofErr w:type="spellStart"/>
      <w:r>
        <w:rPr>
          <w:rFonts w:ascii="Century Gothic" w:eastAsia="Century Gothic" w:hAnsi="Century Gothic" w:cs="Century Gothic"/>
          <w:color w:val="000000"/>
          <w:sz w:val="18"/>
          <w:szCs w:val="18"/>
        </w:rPr>
        <w:t>Sergat</w:t>
      </w:r>
      <w:proofErr w:type="spellEnd"/>
      <w:r>
        <w:rPr>
          <w:rFonts w:ascii="Century Gothic" w:eastAsia="Century Gothic" w:hAnsi="Century Gothic" w:cs="Century Gothic"/>
          <w:color w:val="000000"/>
          <w:sz w:val="18"/>
          <w:szCs w:val="18"/>
        </w:rPr>
        <w:t xml:space="preserve"> </w:t>
      </w:r>
    </w:p>
    <w:p w14:paraId="69DD09A6" w14:textId="77777777" w:rsidR="00B06616"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Teléfono: 93 414 02 10</w:t>
      </w:r>
    </w:p>
    <w:p w14:paraId="5FC81F5C" w14:textId="77777777" w:rsidR="00B06616" w:rsidRDefault="00000000">
      <w:pPr>
        <w:pBdr>
          <w:top w:val="nil"/>
          <w:left w:val="nil"/>
          <w:bottom w:val="nil"/>
          <w:right w:val="nil"/>
          <w:between w:val="nil"/>
        </w:pBdr>
        <w:spacing w:line="360" w:lineRule="auto"/>
        <w:jc w:val="both"/>
        <w:rPr>
          <w:rFonts w:ascii="Cambria" w:eastAsia="Cambria" w:hAnsi="Cambria" w:cs="Cambria"/>
          <w:color w:val="000000"/>
        </w:rPr>
      </w:pPr>
      <w:r>
        <w:rPr>
          <w:rFonts w:ascii="Century Gothic" w:eastAsia="Century Gothic" w:hAnsi="Century Gothic" w:cs="Century Gothic"/>
          <w:color w:val="000000"/>
          <w:sz w:val="18"/>
          <w:szCs w:val="18"/>
        </w:rPr>
        <w:t xml:space="preserve">Correo electrónico: </w:t>
      </w:r>
      <w:r>
        <w:rPr>
          <w:rFonts w:ascii="Century Gothic" w:eastAsia="Century Gothic" w:hAnsi="Century Gothic" w:cs="Century Gothic"/>
          <w:color w:val="0000FF"/>
          <w:sz w:val="18"/>
          <w:szCs w:val="18"/>
        </w:rPr>
        <w:t xml:space="preserve">prensa@sergat.com   </w:t>
      </w:r>
    </w:p>
    <w:p w14:paraId="1B680881" w14:textId="77777777" w:rsidR="00B06616" w:rsidRDefault="00B06616">
      <w:pPr>
        <w:jc w:val="center"/>
        <w:rPr>
          <w:sz w:val="20"/>
          <w:szCs w:val="20"/>
        </w:rPr>
      </w:pPr>
    </w:p>
    <w:p w14:paraId="011B0EEA" w14:textId="77777777" w:rsidR="00B06616" w:rsidRDefault="00000000">
      <w:pPr>
        <w:spacing w:after="240"/>
        <w:jc w:val="center"/>
      </w:pPr>
      <w:r>
        <w:rPr>
          <w:rFonts w:ascii="Century Gothic" w:eastAsia="Century Gothic" w:hAnsi="Century Gothic" w:cs="Century Gothic"/>
          <w:b/>
          <w:bCs/>
        </w:rPr>
        <w:t>Emirates Group anuncia sus beneficios del primer semestre del ejercicio 2026-27 pese al impacto del conflicto regional y a los elevados costes del combustible</w:t>
      </w:r>
      <w:r>
        <w:rPr>
          <w:rFonts w:ascii="Century Gothic" w:eastAsia="Century Gothic" w:hAnsi="Century Gothic" w:cs="Century Gothic"/>
          <w:b/>
          <w:bCs/>
        </w:rPr>
        <w:br/>
      </w:r>
    </w:p>
    <w:p w14:paraId="0617D684" w14:textId="77777777" w:rsidR="00B06616" w:rsidRDefault="00000000">
      <w:pPr>
        <w:numPr>
          <w:ilvl w:val="0"/>
          <w:numId w:val="1"/>
        </w:numPr>
        <w:pBdr>
          <w:top w:val="nil"/>
          <w:left w:val="nil"/>
          <w:bottom w:val="nil"/>
          <w:right w:val="nil"/>
          <w:between w:val="nil"/>
        </w:pBdr>
        <w:spacing w:line="276" w:lineRule="auto"/>
        <w:jc w:val="both"/>
        <w:rPr>
          <w:color w:val="000000"/>
          <w:sz w:val="22"/>
          <w:szCs w:val="22"/>
        </w:rPr>
      </w:pPr>
      <w:r>
        <w:rPr>
          <w:rFonts w:ascii="Century Gothic" w:eastAsia="Century Gothic" w:hAnsi="Century Gothic" w:cs="Century Gothic"/>
          <w:b/>
          <w:bCs/>
          <w:color w:val="000000"/>
          <w:sz w:val="22"/>
          <w:szCs w:val="22"/>
        </w:rPr>
        <w:t xml:space="preserve">Grupo: </w:t>
      </w:r>
      <w:r>
        <w:rPr>
          <w:rFonts w:ascii="Century Gothic" w:eastAsia="Century Gothic" w:hAnsi="Century Gothic" w:cs="Century Gothic"/>
          <w:color w:val="000000"/>
          <w:sz w:val="22"/>
          <w:szCs w:val="22"/>
        </w:rPr>
        <w:t>beneficios antes de impuestos de 4100 millones de AED (1100 millones de USD) en el primer semestre, un 66 % menos que en el mismo periodo del año anterior. Los ingresos descienden un 12 %, hasta los 66.200 millones de AED (18.000 millones de USD).</w:t>
      </w:r>
    </w:p>
    <w:p w14:paraId="5B8D3F93" w14:textId="77777777" w:rsidR="00B06616" w:rsidRDefault="00000000">
      <w:pPr>
        <w:numPr>
          <w:ilvl w:val="0"/>
          <w:numId w:val="1"/>
        </w:numPr>
        <w:pBdr>
          <w:top w:val="nil"/>
          <w:left w:val="nil"/>
          <w:bottom w:val="nil"/>
          <w:right w:val="nil"/>
          <w:between w:val="nil"/>
        </w:pBdr>
        <w:spacing w:line="276" w:lineRule="auto"/>
        <w:jc w:val="both"/>
        <w:rPr>
          <w:color w:val="000000"/>
          <w:sz w:val="22"/>
          <w:szCs w:val="22"/>
        </w:rPr>
      </w:pPr>
      <w:r>
        <w:rPr>
          <w:rFonts w:ascii="Century Gothic" w:eastAsia="Century Gothic" w:hAnsi="Century Gothic" w:cs="Century Gothic"/>
          <w:b/>
          <w:bCs/>
          <w:color w:val="000000"/>
          <w:sz w:val="22"/>
          <w:szCs w:val="22"/>
        </w:rPr>
        <w:t xml:space="preserve">Emirates: </w:t>
      </w:r>
      <w:r>
        <w:rPr>
          <w:rFonts w:ascii="Century Gothic" w:eastAsia="Century Gothic" w:hAnsi="Century Gothic" w:cs="Century Gothic"/>
          <w:color w:val="000000"/>
          <w:sz w:val="22"/>
          <w:szCs w:val="22"/>
        </w:rPr>
        <w:t>beneficios antes de impuestos de 3700 millones de AED (1000 millones de USD), un 68 % menos, e ingresos de 56.900 millones de AED (15.500 millones de USD), un 13 % menos que en el mismo periodo del año anterior. Los ingresos se apoyan en el sólido comportamiento de la carga, mientras que los beneficios se ven erosionados por los altos precios del combustible.</w:t>
      </w:r>
    </w:p>
    <w:p w14:paraId="54CCC387" w14:textId="77777777" w:rsidR="00B06616" w:rsidRDefault="00000000">
      <w:pPr>
        <w:numPr>
          <w:ilvl w:val="0"/>
          <w:numId w:val="1"/>
        </w:numPr>
        <w:pBdr>
          <w:top w:val="nil"/>
          <w:left w:val="nil"/>
          <w:bottom w:val="nil"/>
          <w:right w:val="nil"/>
          <w:between w:val="nil"/>
        </w:pBdr>
        <w:spacing w:line="276" w:lineRule="auto"/>
        <w:jc w:val="both"/>
        <w:rPr>
          <w:color w:val="000000"/>
          <w:sz w:val="22"/>
          <w:szCs w:val="22"/>
        </w:rPr>
      </w:pPr>
      <w:proofErr w:type="spellStart"/>
      <w:r>
        <w:rPr>
          <w:rFonts w:ascii="Century Gothic" w:eastAsia="Century Gothic" w:hAnsi="Century Gothic" w:cs="Century Gothic"/>
          <w:b/>
          <w:bCs/>
          <w:color w:val="000000"/>
          <w:sz w:val="22"/>
          <w:szCs w:val="22"/>
        </w:rPr>
        <w:t>dnata</w:t>
      </w:r>
      <w:proofErr w:type="spellEnd"/>
      <w:r>
        <w:rPr>
          <w:rFonts w:ascii="Century Gothic" w:eastAsia="Century Gothic" w:hAnsi="Century Gothic" w:cs="Century Gothic"/>
          <w:b/>
          <w:bCs/>
          <w:color w:val="000000"/>
          <w:sz w:val="22"/>
          <w:szCs w:val="22"/>
        </w:rPr>
        <w:t xml:space="preserve">: </w:t>
      </w:r>
      <w:r>
        <w:rPr>
          <w:rFonts w:ascii="Century Gothic" w:eastAsia="Century Gothic" w:hAnsi="Century Gothic" w:cs="Century Gothic"/>
          <w:color w:val="000000"/>
          <w:sz w:val="22"/>
          <w:szCs w:val="22"/>
        </w:rPr>
        <w:t>beneficios antes de impuestos de 410 millones de AED (112 millones de USD), un 51 % menos que en el mismo periodo del año anterior, sobre unos ingresos de 11.000 millones de AED (3000 millones de USD), un 7 % menos, como reflejo de la caída de volúmenes en parte de sus negocios en los Emiratos Árabes Unidos y en el Reino Unido.</w:t>
      </w:r>
    </w:p>
    <w:p w14:paraId="4E760176" w14:textId="77777777" w:rsidR="00B06616" w:rsidRDefault="00000000">
      <w:pPr>
        <w:numPr>
          <w:ilvl w:val="0"/>
          <w:numId w:val="1"/>
        </w:numPr>
        <w:pBdr>
          <w:top w:val="nil"/>
          <w:left w:val="nil"/>
          <w:bottom w:val="nil"/>
          <w:right w:val="nil"/>
          <w:between w:val="nil"/>
        </w:pBdr>
        <w:spacing w:after="120" w:line="276" w:lineRule="auto"/>
        <w:jc w:val="both"/>
        <w:rPr>
          <w:color w:val="000000"/>
          <w:sz w:val="22"/>
          <w:szCs w:val="22"/>
        </w:rPr>
      </w:pPr>
      <w:r>
        <w:rPr>
          <w:rFonts w:ascii="Century Gothic" w:eastAsia="Century Gothic" w:hAnsi="Century Gothic" w:cs="Century Gothic"/>
          <w:color w:val="000000"/>
          <w:sz w:val="22"/>
          <w:szCs w:val="22"/>
        </w:rPr>
        <w:t xml:space="preserve">El </w:t>
      </w:r>
      <w:proofErr w:type="gramStart"/>
      <w:r>
        <w:rPr>
          <w:rFonts w:ascii="Century Gothic" w:eastAsia="Century Gothic" w:hAnsi="Century Gothic" w:cs="Century Gothic"/>
          <w:sz w:val="22"/>
          <w:szCs w:val="22"/>
        </w:rPr>
        <w:t>P</w:t>
      </w:r>
      <w:r>
        <w:rPr>
          <w:rFonts w:ascii="Century Gothic" w:eastAsia="Century Gothic" w:hAnsi="Century Gothic" w:cs="Century Gothic"/>
          <w:color w:val="000000"/>
          <w:sz w:val="22"/>
          <w:szCs w:val="22"/>
        </w:rPr>
        <w:t>residente</w:t>
      </w:r>
      <w:proofErr w:type="gramEnd"/>
      <w:r>
        <w:rPr>
          <w:rFonts w:ascii="Century Gothic" w:eastAsia="Century Gothic" w:hAnsi="Century Gothic" w:cs="Century Gothic"/>
          <w:color w:val="000000"/>
          <w:sz w:val="22"/>
          <w:szCs w:val="22"/>
        </w:rPr>
        <w:t xml:space="preserve"> y </w:t>
      </w:r>
      <w:proofErr w:type="gramStart"/>
      <w:r>
        <w:rPr>
          <w:rFonts w:ascii="Century Gothic" w:eastAsia="Century Gothic" w:hAnsi="Century Gothic" w:cs="Century Gothic"/>
          <w:sz w:val="22"/>
          <w:szCs w:val="22"/>
        </w:rPr>
        <w:t>D</w:t>
      </w:r>
      <w:r>
        <w:rPr>
          <w:rFonts w:ascii="Century Gothic" w:eastAsia="Century Gothic" w:hAnsi="Century Gothic" w:cs="Century Gothic"/>
          <w:color w:val="000000"/>
          <w:sz w:val="22"/>
          <w:szCs w:val="22"/>
        </w:rPr>
        <w:t xml:space="preserve">irector </w:t>
      </w:r>
      <w:r>
        <w:rPr>
          <w:rFonts w:ascii="Century Gothic" w:eastAsia="Century Gothic" w:hAnsi="Century Gothic" w:cs="Century Gothic"/>
          <w:sz w:val="22"/>
          <w:szCs w:val="22"/>
        </w:rPr>
        <w:t>E</w:t>
      </w:r>
      <w:r>
        <w:rPr>
          <w:rFonts w:ascii="Century Gothic" w:eastAsia="Century Gothic" w:hAnsi="Century Gothic" w:cs="Century Gothic"/>
          <w:color w:val="000000"/>
          <w:sz w:val="22"/>
          <w:szCs w:val="22"/>
        </w:rPr>
        <w:t>jecutivo</w:t>
      </w:r>
      <w:proofErr w:type="gramEnd"/>
      <w:r>
        <w:rPr>
          <w:rFonts w:ascii="Century Gothic" w:eastAsia="Century Gothic" w:hAnsi="Century Gothic" w:cs="Century Gothic"/>
          <w:color w:val="000000"/>
          <w:sz w:val="22"/>
          <w:szCs w:val="22"/>
        </w:rPr>
        <w:t xml:space="preserve"> de Emirates Group agradece al Gobierno de los Emiratos Árabes Unidos que haya hecho posible la recuperación segura y ordenada de la actividad del transporte aéreo, destaca la inversión continuada del Grupo en flota, producto y capacidades de futuro, y afirma que el Grupo está bien posicionado para mantener su agilidad frente a los altos precios del combustible y la volatilidad regional.</w:t>
      </w:r>
    </w:p>
    <w:p w14:paraId="2022E988" w14:textId="77777777" w:rsidR="00B06616" w:rsidRDefault="00B06616">
      <w:pPr>
        <w:jc w:val="both"/>
      </w:pPr>
    </w:p>
    <w:p w14:paraId="7665BBD4" w14:textId="77777777" w:rsidR="00B06616" w:rsidRDefault="00000000">
      <w:pPr>
        <w:jc w:val="both"/>
      </w:pPr>
      <w:r>
        <w:rPr>
          <w:rFonts w:ascii="Century Gothic" w:eastAsia="Century Gothic" w:hAnsi="Century Gothic" w:cs="Century Gothic"/>
          <w:b/>
          <w:bCs/>
          <w:sz w:val="22"/>
          <w:szCs w:val="22"/>
        </w:rPr>
        <w:t xml:space="preserve">Dubái, EAU, 5 de noviembre de 2026: </w:t>
      </w:r>
      <w:r>
        <w:rPr>
          <w:rFonts w:ascii="Century Gothic" w:eastAsia="Century Gothic" w:hAnsi="Century Gothic" w:cs="Century Gothic"/>
          <w:sz w:val="22"/>
          <w:szCs w:val="22"/>
        </w:rPr>
        <w:t xml:space="preserve">Emirates Group ha anunciado hoy sus resultados financieros del primer semestre, con unos </w:t>
      </w:r>
      <w:r>
        <w:rPr>
          <w:rFonts w:ascii="Century Gothic" w:eastAsia="Century Gothic" w:hAnsi="Century Gothic" w:cs="Century Gothic"/>
          <w:b/>
          <w:bCs/>
          <w:sz w:val="22"/>
          <w:szCs w:val="22"/>
        </w:rPr>
        <w:t>beneficios antes de impuestos</w:t>
      </w:r>
      <w:r>
        <w:rPr>
          <w:rFonts w:ascii="Century Gothic" w:eastAsia="Century Gothic" w:hAnsi="Century Gothic" w:cs="Century Gothic"/>
          <w:sz w:val="22"/>
          <w:szCs w:val="22"/>
        </w:rPr>
        <w:t xml:space="preserve"> de 4100 millones de AED (1100 millones de USD) en los seis primeros meses del ejercicio 2026-27, un comportamiento destacable frente a las perturbaciones y los altos precios del combustible provocados por el conflicto que atraviesa la región del Golfo.</w:t>
      </w:r>
      <w:r>
        <w:rPr>
          <w:rFonts w:ascii="Century Gothic" w:eastAsia="Century Gothic" w:hAnsi="Century Gothic" w:cs="Century Gothic"/>
          <w:sz w:val="22"/>
          <w:szCs w:val="22"/>
        </w:rPr>
        <w:br/>
      </w:r>
    </w:p>
    <w:p w14:paraId="37E3A169"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Una vez contabilizado el impuesto de sociedades, los </w:t>
      </w:r>
      <w:r>
        <w:rPr>
          <w:rFonts w:ascii="Century Gothic" w:eastAsia="Century Gothic" w:hAnsi="Century Gothic" w:cs="Century Gothic"/>
          <w:b/>
          <w:bCs/>
          <w:sz w:val="22"/>
          <w:szCs w:val="22"/>
        </w:rPr>
        <w:t>beneficios después de impuestos</w:t>
      </w:r>
      <w:r>
        <w:rPr>
          <w:rFonts w:ascii="Century Gothic" w:eastAsia="Century Gothic" w:hAnsi="Century Gothic" w:cs="Century Gothic"/>
          <w:sz w:val="22"/>
          <w:szCs w:val="22"/>
        </w:rPr>
        <w:t xml:space="preserve"> del Grupo se sitúan en 3600 millones de AED (1000 millones de USD), un 66 % menos que el año anterior.</w:t>
      </w:r>
    </w:p>
    <w:p w14:paraId="32B41A7A" w14:textId="77777777" w:rsidR="00B06616" w:rsidRDefault="00B06616">
      <w:pPr>
        <w:jc w:val="both"/>
        <w:rPr>
          <w:rFonts w:ascii="Century Gothic" w:eastAsia="Century Gothic" w:hAnsi="Century Gothic" w:cs="Century Gothic"/>
          <w:sz w:val="22"/>
          <w:szCs w:val="22"/>
        </w:rPr>
      </w:pPr>
    </w:p>
    <w:p w14:paraId="42689249"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Como muestra de su sólido desempeño operativo, el Grupo ha alcanzado un EBITDA de 12.500 millones de AED (3400 millones de USD), un 41 % inferior a los 21.100 millones de AED (5700 millones de USD) registrados en el mismo periodo del año anterior, cuando el Grupo marcó un </w:t>
      </w:r>
      <w:proofErr w:type="gramStart"/>
      <w:r>
        <w:rPr>
          <w:rFonts w:ascii="Century Gothic" w:eastAsia="Century Gothic" w:hAnsi="Century Gothic" w:cs="Century Gothic"/>
          <w:sz w:val="22"/>
          <w:szCs w:val="22"/>
        </w:rPr>
        <w:t>nuevo récord</w:t>
      </w:r>
      <w:proofErr w:type="gramEnd"/>
      <w:r>
        <w:rPr>
          <w:rFonts w:ascii="Century Gothic" w:eastAsia="Century Gothic" w:hAnsi="Century Gothic" w:cs="Century Gothic"/>
          <w:sz w:val="22"/>
          <w:szCs w:val="22"/>
        </w:rPr>
        <w:t xml:space="preserve"> de beneficios e ingresos.</w:t>
      </w:r>
    </w:p>
    <w:p w14:paraId="40C0DDCD" w14:textId="77777777" w:rsidR="00B06616" w:rsidRDefault="00B06616">
      <w:pPr>
        <w:jc w:val="both"/>
      </w:pPr>
    </w:p>
    <w:p w14:paraId="4209CECD"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Los ingresos del Grupo</w:t>
      </w:r>
      <w:r>
        <w:rPr>
          <w:rFonts w:ascii="Century Gothic" w:eastAsia="Century Gothic" w:hAnsi="Century Gothic" w:cs="Century Gothic"/>
          <w:sz w:val="22"/>
          <w:szCs w:val="22"/>
        </w:rPr>
        <w:t xml:space="preserve"> han sido de 66.200 millones de AED (18.000 millones de USD) en los seis primeros meses del ejercicio 2026-27, un 12 % menos que los 75.400 millones de AED (20.600 millones de USD) del año anterior.</w:t>
      </w:r>
    </w:p>
    <w:p w14:paraId="0D4F5356" w14:textId="77777777" w:rsidR="00B06616" w:rsidRDefault="00B06616">
      <w:pPr>
        <w:jc w:val="both"/>
      </w:pPr>
    </w:p>
    <w:p w14:paraId="373CBAF2"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El Grupo ha cerrado el primer semestre del ejercicio 2026-27 con una </w:t>
      </w:r>
      <w:r>
        <w:rPr>
          <w:rFonts w:ascii="Century Gothic" w:eastAsia="Century Gothic" w:hAnsi="Century Gothic" w:cs="Century Gothic"/>
          <w:b/>
          <w:bCs/>
          <w:sz w:val="22"/>
          <w:szCs w:val="22"/>
        </w:rPr>
        <w:t>posición de caja</w:t>
      </w:r>
      <w:r>
        <w:rPr>
          <w:rFonts w:ascii="Century Gothic" w:eastAsia="Century Gothic" w:hAnsi="Century Gothic" w:cs="Century Gothic"/>
          <w:sz w:val="22"/>
          <w:szCs w:val="22"/>
        </w:rPr>
        <w:t xml:space="preserve"> de 54.100 millones de AED (14.700 millones de USD) a 30 de septiembre de 2026, frente a los 59.600 millones de AED (16.200 millones de USD) a 31 de marzo de 2026. El Grupo ha podido recurrir a sus propias reservas de efectivo para atender las necesidades del negocio, entre ellas los pagos previos a la entrega de aeronaves y el servicio de sus obligaciones de deuda. También ha abonado los 2000 millones de AED (545 millones de USD) restantes del dividendo a su propietario, </w:t>
      </w:r>
      <w:proofErr w:type="spellStart"/>
      <w:r>
        <w:rPr>
          <w:rFonts w:ascii="Century Gothic" w:eastAsia="Century Gothic" w:hAnsi="Century Gothic" w:cs="Century Gothic"/>
          <w:i/>
          <w:iCs/>
          <w:sz w:val="22"/>
          <w:szCs w:val="22"/>
        </w:rPr>
        <w:t>Investment</w:t>
      </w:r>
      <w:proofErr w:type="spellEnd"/>
      <w:r>
        <w:rPr>
          <w:rFonts w:ascii="Century Gothic" w:eastAsia="Century Gothic" w:hAnsi="Century Gothic" w:cs="Century Gothic"/>
          <w:i/>
          <w:iCs/>
          <w:sz w:val="22"/>
          <w:szCs w:val="22"/>
        </w:rPr>
        <w:t xml:space="preserve"> </w:t>
      </w:r>
      <w:proofErr w:type="spellStart"/>
      <w:r>
        <w:rPr>
          <w:rFonts w:ascii="Century Gothic" w:eastAsia="Century Gothic" w:hAnsi="Century Gothic" w:cs="Century Gothic"/>
          <w:i/>
          <w:iCs/>
          <w:sz w:val="22"/>
          <w:szCs w:val="22"/>
        </w:rPr>
        <w:t>Corporation</w:t>
      </w:r>
      <w:proofErr w:type="spellEnd"/>
      <w:r>
        <w:rPr>
          <w:rFonts w:ascii="Century Gothic" w:eastAsia="Century Gothic" w:hAnsi="Century Gothic" w:cs="Century Gothic"/>
          <w:i/>
          <w:iCs/>
          <w:sz w:val="22"/>
          <w:szCs w:val="22"/>
        </w:rPr>
        <w:t xml:space="preserve"> </w:t>
      </w:r>
      <w:proofErr w:type="spellStart"/>
      <w:r>
        <w:rPr>
          <w:rFonts w:ascii="Century Gothic" w:eastAsia="Century Gothic" w:hAnsi="Century Gothic" w:cs="Century Gothic"/>
          <w:i/>
          <w:iCs/>
          <w:sz w:val="22"/>
          <w:szCs w:val="22"/>
        </w:rPr>
        <w:t>of</w:t>
      </w:r>
      <w:proofErr w:type="spellEnd"/>
      <w:r>
        <w:rPr>
          <w:rFonts w:ascii="Century Gothic" w:eastAsia="Century Gothic" w:hAnsi="Century Gothic" w:cs="Century Gothic"/>
          <w:i/>
          <w:iCs/>
          <w:sz w:val="22"/>
          <w:szCs w:val="22"/>
        </w:rPr>
        <w:t xml:space="preserve"> </w:t>
      </w:r>
      <w:proofErr w:type="spellStart"/>
      <w:r>
        <w:rPr>
          <w:rFonts w:ascii="Century Gothic" w:eastAsia="Century Gothic" w:hAnsi="Century Gothic" w:cs="Century Gothic"/>
          <w:i/>
          <w:iCs/>
          <w:sz w:val="22"/>
          <w:szCs w:val="22"/>
        </w:rPr>
        <w:t>Dubai</w:t>
      </w:r>
      <w:proofErr w:type="spellEnd"/>
      <w:r>
        <w:rPr>
          <w:rFonts w:ascii="Century Gothic" w:eastAsia="Century Gothic" w:hAnsi="Century Gothic" w:cs="Century Gothic"/>
          <w:sz w:val="22"/>
          <w:szCs w:val="22"/>
        </w:rPr>
        <w:t xml:space="preserve"> (ICD), de los 3500 millones de AED (953 millones de USD) declarados para el ejercicio 2025-26.</w:t>
      </w:r>
    </w:p>
    <w:p w14:paraId="2FDCB24D" w14:textId="77777777" w:rsidR="00B06616" w:rsidRDefault="00B06616">
      <w:pPr>
        <w:jc w:val="both"/>
      </w:pPr>
    </w:p>
    <w:p w14:paraId="40B10C63"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Su Alteza el Jeque Ahmed </w:t>
      </w:r>
      <w:proofErr w:type="spellStart"/>
      <w:r>
        <w:rPr>
          <w:rFonts w:ascii="Century Gothic" w:eastAsia="Century Gothic" w:hAnsi="Century Gothic" w:cs="Century Gothic"/>
          <w:b/>
          <w:bCs/>
          <w:sz w:val="22"/>
          <w:szCs w:val="22"/>
        </w:rPr>
        <w:t>bin</w:t>
      </w:r>
      <w:proofErr w:type="spellEnd"/>
      <w:r>
        <w:rPr>
          <w:rFonts w:ascii="Century Gothic" w:eastAsia="Century Gothic" w:hAnsi="Century Gothic" w:cs="Century Gothic"/>
          <w:b/>
          <w:bCs/>
          <w:sz w:val="22"/>
          <w:szCs w:val="22"/>
        </w:rPr>
        <w:t xml:space="preserve"> Saeed Al Maktoum, </w:t>
      </w:r>
      <w:proofErr w:type="gramStart"/>
      <w:r>
        <w:rPr>
          <w:rFonts w:ascii="Century Gothic" w:eastAsia="Century Gothic" w:hAnsi="Century Gothic" w:cs="Century Gothic"/>
          <w:b/>
          <w:bCs/>
          <w:sz w:val="22"/>
          <w:szCs w:val="22"/>
        </w:rPr>
        <w:t>Presidente</w:t>
      </w:r>
      <w:proofErr w:type="gramEnd"/>
      <w:r>
        <w:rPr>
          <w:rFonts w:ascii="Century Gothic" w:eastAsia="Century Gothic" w:hAnsi="Century Gothic" w:cs="Century Gothic"/>
          <w:b/>
          <w:bCs/>
          <w:sz w:val="22"/>
          <w:szCs w:val="22"/>
        </w:rPr>
        <w:t xml:space="preserve"> y </w:t>
      </w:r>
      <w:proofErr w:type="gramStart"/>
      <w:r>
        <w:rPr>
          <w:rFonts w:ascii="Century Gothic" w:eastAsia="Century Gothic" w:hAnsi="Century Gothic" w:cs="Century Gothic"/>
          <w:b/>
          <w:bCs/>
          <w:sz w:val="22"/>
          <w:szCs w:val="22"/>
        </w:rPr>
        <w:t>Director Ejecutivo</w:t>
      </w:r>
      <w:proofErr w:type="gramEnd"/>
      <w:r>
        <w:rPr>
          <w:rFonts w:ascii="Century Gothic" w:eastAsia="Century Gothic" w:hAnsi="Century Gothic" w:cs="Century Gothic"/>
          <w:b/>
          <w:bCs/>
          <w:sz w:val="22"/>
          <w:szCs w:val="22"/>
        </w:rPr>
        <w:t xml:space="preserve"> de la aerolínea y Emirates Group, ha declarado</w:t>
      </w:r>
      <w:r>
        <w:rPr>
          <w:rFonts w:ascii="Century Gothic" w:eastAsia="Century Gothic" w:hAnsi="Century Gothic" w:cs="Century Gothic"/>
          <w:sz w:val="22"/>
          <w:szCs w:val="22"/>
        </w:rPr>
        <w:t>: “Han sido seis meses exigentes y, una vez más, nuestro modelo de negocio y nuestra gente han superado la prueba. Frente a unos desafíos regionales de gran magnitud y unos precios del combustible elevados, el Grupo ha obtenido unos beneficios antes de impuestos de 4100 millones de AED (1100 millones de USD). La demanda de los clientes se ha mantenido firme y nuestras operaciones de carga han aportado una contribución sólida, lo que ha permitido conservar unos niveles saludables de ingresos y de caja incluso con unos precios globales del queroseno que se han duplicado respecto al mismo periodo del año anterior, con el consiguiente impacto en nuestros costes y en nuestra rentabilidad”.</w:t>
      </w:r>
    </w:p>
    <w:p w14:paraId="633518B1" w14:textId="77777777" w:rsidR="00B06616" w:rsidRDefault="00B06616">
      <w:pPr>
        <w:jc w:val="both"/>
      </w:pPr>
    </w:p>
    <w:p w14:paraId="07011944"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“Quiero agradecer al Gobierno de los Emiratos Árabes Unidos su respuesta decidida y su coordinación de todos los actores implicados para permitir la reanudación segura del transporte aéreo tras la actividad militar en la región del Golfo. Las medidas del Gobierno también han propiciado la relajación de las recomendaciones de viaje hacia y a través de los Emiratos Árabes Unidos. Eso nos ha permitido restablecer nuestras operaciones con confianza y seguir atendiendo a nuestros clientes y a nuestras comunidades”.</w:t>
      </w:r>
    </w:p>
    <w:p w14:paraId="50330CCF" w14:textId="77777777" w:rsidR="00B06616" w:rsidRDefault="00B06616">
      <w:pPr>
        <w:jc w:val="both"/>
      </w:pPr>
    </w:p>
    <w:p w14:paraId="517F4980"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“Durante todo este tiempo no hemos detenido nuestras inversiones. Emirates y </w:t>
      </w:r>
      <w:proofErr w:type="spellStart"/>
      <w:r>
        <w:rPr>
          <w:rFonts w:ascii="Century Gothic" w:eastAsia="Century Gothic" w:hAnsi="Century Gothic" w:cs="Century Gothic"/>
          <w:sz w:val="22"/>
          <w:szCs w:val="22"/>
        </w:rPr>
        <w:t>dnata</w:t>
      </w:r>
      <w:proofErr w:type="spellEnd"/>
      <w:r>
        <w:rPr>
          <w:rFonts w:ascii="Century Gothic" w:eastAsia="Century Gothic" w:hAnsi="Century Gothic" w:cs="Century Gothic"/>
          <w:sz w:val="22"/>
          <w:szCs w:val="22"/>
        </w:rPr>
        <w:t xml:space="preserve"> siguen destinando recursos significativos a ampliar la flota, mejorar nuestros productos y servicios y desarrollar capacidades que darán forma al futuro de nuestro negocio. Así es como nos mantenemos por delante y resistimos los desafíos externos”.</w:t>
      </w:r>
    </w:p>
    <w:p w14:paraId="1B338759" w14:textId="77777777" w:rsidR="00B06616" w:rsidRDefault="00B06616">
      <w:pPr>
        <w:jc w:val="both"/>
      </w:pPr>
    </w:p>
    <w:p w14:paraId="22DC1EA0"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Su Alteza el Jeque Ahmed añadió</w:t>
      </w:r>
      <w:r>
        <w:rPr>
          <w:rFonts w:ascii="Century Gothic" w:eastAsia="Century Gothic" w:hAnsi="Century Gothic" w:cs="Century Gothic"/>
          <w:sz w:val="22"/>
          <w:szCs w:val="22"/>
        </w:rPr>
        <w:t xml:space="preserve">: “Entramos en la segunda mitad del ejercicio 2026-27 con un optimismo prudente. Sin perder de vista los costes ni la evolución geopolítica, seguimos centrados en ofrecer aquello por lo que se conoce a Emirates y a </w:t>
      </w:r>
      <w:proofErr w:type="spellStart"/>
      <w:r>
        <w:rPr>
          <w:rFonts w:ascii="Century Gothic" w:eastAsia="Century Gothic" w:hAnsi="Century Gothic" w:cs="Century Gothic"/>
          <w:sz w:val="22"/>
          <w:szCs w:val="22"/>
        </w:rPr>
        <w:t>dnata</w:t>
      </w:r>
      <w:proofErr w:type="spellEnd"/>
      <w:r>
        <w:rPr>
          <w:rFonts w:ascii="Century Gothic" w:eastAsia="Century Gothic" w:hAnsi="Century Gothic" w:cs="Century Gothic"/>
          <w:sz w:val="22"/>
          <w:szCs w:val="22"/>
        </w:rPr>
        <w:t xml:space="preserve">: </w:t>
      </w:r>
      <w:r>
        <w:rPr>
          <w:rFonts w:ascii="Century Gothic" w:eastAsia="Century Gothic" w:hAnsi="Century Gothic" w:cs="Century Gothic"/>
          <w:sz w:val="22"/>
          <w:szCs w:val="22"/>
        </w:rPr>
        <w:lastRenderedPageBreak/>
        <w:t>seguridad, calidad y satisfacción del cliente. Ya hemos superado dificultades en el pasado y, con nuestra sólida posición de caja y los cimientos construidos a lo largo de los años, el Grupo está bien posicionado para sortear la volatilidad y los altos precios del combustible”.</w:t>
      </w:r>
    </w:p>
    <w:p w14:paraId="718FA9ED" w14:textId="77777777" w:rsidR="00B06616" w:rsidRDefault="00B06616">
      <w:pPr>
        <w:jc w:val="both"/>
      </w:pPr>
    </w:p>
    <w:p w14:paraId="2F76E614"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En comparación con el 31 de marzo de 2026</w:t>
      </w:r>
      <w:r>
        <w:rPr>
          <w:rFonts w:ascii="Century Gothic" w:eastAsia="Century Gothic" w:hAnsi="Century Gothic" w:cs="Century Gothic"/>
          <w:b/>
          <w:bCs/>
          <w:sz w:val="22"/>
          <w:szCs w:val="22"/>
        </w:rPr>
        <w:t>, la plantilla de Emirates Group</w:t>
      </w:r>
      <w:r>
        <w:rPr>
          <w:rFonts w:ascii="Century Gothic" w:eastAsia="Century Gothic" w:hAnsi="Century Gothic" w:cs="Century Gothic"/>
          <w:sz w:val="22"/>
          <w:szCs w:val="22"/>
        </w:rPr>
        <w:t xml:space="preserve"> se ha reducido un 2 %, hasta un total de 128.237 empleados a 30 de septiembre de 2026. Tanto Emirates como </w:t>
      </w:r>
      <w:proofErr w:type="spellStart"/>
      <w:r>
        <w:rPr>
          <w:rFonts w:ascii="Century Gothic" w:eastAsia="Century Gothic" w:hAnsi="Century Gothic" w:cs="Century Gothic"/>
          <w:sz w:val="22"/>
          <w:szCs w:val="22"/>
        </w:rPr>
        <w:t>dnata</w:t>
      </w:r>
      <w:proofErr w:type="spellEnd"/>
      <w:r>
        <w:rPr>
          <w:rFonts w:ascii="Century Gothic" w:eastAsia="Century Gothic" w:hAnsi="Century Gothic" w:cs="Century Gothic"/>
          <w:sz w:val="22"/>
          <w:szCs w:val="22"/>
        </w:rPr>
        <w:t xml:space="preserve"> mantienen, no obstante, procesos de selección abiertos para cubrir las necesidades del negocio.</w:t>
      </w:r>
    </w:p>
    <w:p w14:paraId="7F656634" w14:textId="77777777" w:rsidR="00B06616" w:rsidRDefault="00B06616">
      <w:pPr>
        <w:jc w:val="both"/>
      </w:pPr>
    </w:p>
    <w:p w14:paraId="700ECA08" w14:textId="77777777" w:rsidR="00B06616" w:rsidRDefault="00000000">
      <w:pPr>
        <w:spacing w:after="160"/>
        <w:jc w:val="both"/>
        <w:rPr>
          <w:sz w:val="22"/>
          <w:szCs w:val="22"/>
        </w:rPr>
      </w:pPr>
      <w:r>
        <w:rPr>
          <w:rFonts w:ascii="Century Gothic" w:eastAsia="Century Gothic" w:hAnsi="Century Gothic" w:cs="Century Gothic"/>
          <w:b/>
          <w:bCs/>
          <w:sz w:val="22"/>
          <w:szCs w:val="22"/>
        </w:rPr>
        <w:t>Emirates</w:t>
      </w:r>
    </w:p>
    <w:p w14:paraId="02697964"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Los seis primeros meses del ejercicio 2026-27 han planteado desafíos importantes a las operaciones de Emirates: las restricciones y los cierres intermitentes del espacio aéreo en la región han puesto a prueba la agilidad operativa de la aerolínea, mientras que las recomendaciones oficiales de viaje han alterado las decisiones de los consumidores y los flujos de tráfico.</w:t>
      </w:r>
    </w:p>
    <w:p w14:paraId="236294C5" w14:textId="77777777" w:rsidR="00B06616" w:rsidRDefault="00B06616">
      <w:pPr>
        <w:jc w:val="both"/>
      </w:pPr>
    </w:p>
    <w:p w14:paraId="17F22030"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Durante este periodo, Emirates ha centrado sus esfuerzos en recuperar </w:t>
      </w:r>
      <w:r>
        <w:rPr>
          <w:rFonts w:ascii="Century Gothic" w:eastAsia="Century Gothic" w:hAnsi="Century Gothic" w:cs="Century Gothic"/>
          <w:b/>
          <w:bCs/>
          <w:sz w:val="22"/>
          <w:szCs w:val="22"/>
        </w:rPr>
        <w:t xml:space="preserve">su red y sus opciones de conectividad </w:t>
      </w:r>
      <w:r>
        <w:rPr>
          <w:rFonts w:ascii="Century Gothic" w:eastAsia="Century Gothic" w:hAnsi="Century Gothic" w:cs="Century Gothic"/>
          <w:sz w:val="22"/>
          <w:szCs w:val="22"/>
        </w:rPr>
        <w:t xml:space="preserve">a través de su </w:t>
      </w:r>
      <w:proofErr w:type="spellStart"/>
      <w:proofErr w:type="gramStart"/>
      <w:r>
        <w:rPr>
          <w:rFonts w:ascii="Century Gothic" w:eastAsia="Century Gothic" w:hAnsi="Century Gothic" w:cs="Century Gothic"/>
          <w:i/>
          <w:iCs/>
          <w:sz w:val="22"/>
          <w:szCs w:val="22"/>
        </w:rPr>
        <w:t>hub</w:t>
      </w:r>
      <w:proofErr w:type="spellEnd"/>
      <w:proofErr w:type="gramEnd"/>
      <w:r>
        <w:rPr>
          <w:rFonts w:ascii="Century Gothic" w:eastAsia="Century Gothic" w:hAnsi="Century Gothic" w:cs="Century Gothic"/>
          <w:sz w:val="22"/>
          <w:szCs w:val="22"/>
        </w:rPr>
        <w:t xml:space="preserve"> de Dubái. A 30 de septiembre, la aerolínea operaba el 91 % de su red previa a las perturbaciones, con una red de pasajeros y carga que abarca 150 aeropuertos en 78 países y territorios.</w:t>
      </w:r>
    </w:p>
    <w:p w14:paraId="3EC99B04" w14:textId="77777777" w:rsidR="00B06616" w:rsidRDefault="00B06616">
      <w:pPr>
        <w:jc w:val="both"/>
      </w:pPr>
    </w:p>
    <w:p w14:paraId="574CD087"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La compañía también ha puesto en marcha una serie de iniciativas para reforzar la confianza de los clientes, entre ellas una cobertura de viaje integral, la primera del sector sin restricciones vinculadas a las recomendaciones oficiales de viaje, cambios de fecha gratuitos en los billetes emitidos y políticas de reembolso flexibles.</w:t>
      </w:r>
    </w:p>
    <w:p w14:paraId="38E8B059" w14:textId="77777777" w:rsidR="00B06616" w:rsidRDefault="00B06616">
      <w:pPr>
        <w:jc w:val="both"/>
      </w:pPr>
    </w:p>
    <w:p w14:paraId="51C20FFC"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Entre el 1 de abril y el 30 de septiembre, Emirates ha ampliado su inventario de asientos de </w:t>
      </w:r>
      <w:r>
        <w:rPr>
          <w:rFonts w:ascii="Century Gothic" w:eastAsia="Century Gothic" w:hAnsi="Century Gothic" w:cs="Century Gothic"/>
          <w:i/>
          <w:iCs/>
          <w:sz w:val="22"/>
          <w:szCs w:val="22"/>
        </w:rPr>
        <w:t>Premium Economy</w:t>
      </w:r>
      <w:r>
        <w:rPr>
          <w:rFonts w:ascii="Century Gothic" w:eastAsia="Century Gothic" w:hAnsi="Century Gothic" w:cs="Century Gothic"/>
          <w:sz w:val="22"/>
          <w:szCs w:val="22"/>
        </w:rPr>
        <w:t xml:space="preserve"> y ha llevado sus últimos productos de cabina a un mayor número de mercados, con la recepción de 9 nuevos A350 y la finalización de la renovación completa de cabina de 12 aviones (9 A380 y 3 Boeing 777). El </w:t>
      </w:r>
      <w:r>
        <w:rPr>
          <w:rFonts w:ascii="Century Gothic" w:eastAsia="Century Gothic" w:hAnsi="Century Gothic" w:cs="Century Gothic"/>
          <w:b/>
          <w:bCs/>
          <w:sz w:val="22"/>
          <w:szCs w:val="22"/>
        </w:rPr>
        <w:t>programa de modernización de Emirates</w:t>
      </w:r>
      <w:r>
        <w:rPr>
          <w:rFonts w:ascii="Century Gothic" w:eastAsia="Century Gothic" w:hAnsi="Century Gothic" w:cs="Century Gothic"/>
          <w:sz w:val="22"/>
          <w:szCs w:val="22"/>
        </w:rPr>
        <w:t xml:space="preserve">, uno de los mayores proyectos de este tipo conocidos en el mundo, representa una inversión prevista de más de 7000 millones de USD para extender los últimos productos de cabina de Emirates a toda su flota. El programa de instalación de </w:t>
      </w:r>
      <w:r>
        <w:rPr>
          <w:rFonts w:ascii="Century Gothic" w:eastAsia="Century Gothic" w:hAnsi="Century Gothic" w:cs="Century Gothic"/>
          <w:b/>
          <w:bCs/>
          <w:sz w:val="22"/>
          <w:szCs w:val="22"/>
        </w:rPr>
        <w:t xml:space="preserve">Starlink </w:t>
      </w:r>
      <w:r>
        <w:rPr>
          <w:rFonts w:ascii="Century Gothic" w:eastAsia="Century Gothic" w:hAnsi="Century Gothic" w:cs="Century Gothic"/>
          <w:sz w:val="22"/>
          <w:szCs w:val="22"/>
        </w:rPr>
        <w:t>ha continuado a buen ritmo, con 36 aviones más equipados con wifi de alta velocidad a bordo durante el primer semestre del año, lo que eleva a 57 el total de aviones de Emirates con Starlink instalado a 30 de septiembre.</w:t>
      </w:r>
    </w:p>
    <w:p w14:paraId="1CEC2598" w14:textId="77777777" w:rsidR="00B06616" w:rsidRDefault="00B06616">
      <w:pPr>
        <w:jc w:val="both"/>
      </w:pPr>
    </w:p>
    <w:p w14:paraId="2A6AF30A"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Para atender sus necesidades futuras de flota, en mayo Emirates inició las obras de su centro de ingeniería y mantenimiento, reparación y revisión (MRO, en inglés) en el Aeropuerto Internacional Al Maktoum, con una inversión de 5100 millones de USD y una finalización prevista para mediados de la década de 2030.</w:t>
      </w:r>
    </w:p>
    <w:p w14:paraId="63FA90A9" w14:textId="77777777" w:rsidR="00B06616" w:rsidRDefault="00B06616">
      <w:pPr>
        <w:jc w:val="both"/>
      </w:pPr>
    </w:p>
    <w:p w14:paraId="1E8C8EEB"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Incluso en momentos difíciles, Emirates ha lanzado dos productos de cabina pioneros en el sector que han recibido excelentes valoraciones de los clientes: el </w:t>
      </w:r>
      <w:r>
        <w:rPr>
          <w:rFonts w:ascii="Century Gothic" w:eastAsia="Century Gothic" w:hAnsi="Century Gothic" w:cs="Century Gothic"/>
          <w:b/>
          <w:bCs/>
          <w:sz w:val="22"/>
          <w:szCs w:val="22"/>
        </w:rPr>
        <w:t>reposacabezas U-</w:t>
      </w:r>
      <w:proofErr w:type="spellStart"/>
      <w:r>
        <w:rPr>
          <w:rFonts w:ascii="Century Gothic" w:eastAsia="Century Gothic" w:hAnsi="Century Gothic" w:cs="Century Gothic"/>
          <w:b/>
          <w:bCs/>
          <w:sz w:val="22"/>
          <w:szCs w:val="22"/>
        </w:rPr>
        <w:lastRenderedPageBreak/>
        <w:t>dream</w:t>
      </w:r>
      <w:proofErr w:type="spellEnd"/>
      <w:r>
        <w:rPr>
          <w:rFonts w:ascii="Century Gothic" w:eastAsia="Century Gothic" w:hAnsi="Century Gothic" w:cs="Century Gothic"/>
          <w:sz w:val="22"/>
          <w:szCs w:val="22"/>
        </w:rPr>
        <w:t xml:space="preserve"> integrado en los asientos de </w:t>
      </w:r>
      <w:r>
        <w:rPr>
          <w:rFonts w:ascii="Century Gothic" w:eastAsia="Century Gothic" w:hAnsi="Century Gothic" w:cs="Century Gothic"/>
          <w:i/>
          <w:iCs/>
          <w:sz w:val="22"/>
          <w:szCs w:val="22"/>
        </w:rPr>
        <w:t>Economy Class</w:t>
      </w:r>
      <w:r>
        <w:rPr>
          <w:rFonts w:ascii="Century Gothic" w:eastAsia="Century Gothic" w:hAnsi="Century Gothic" w:cs="Century Gothic"/>
          <w:sz w:val="22"/>
          <w:szCs w:val="22"/>
        </w:rPr>
        <w:t xml:space="preserve"> y </w:t>
      </w:r>
      <w:r>
        <w:rPr>
          <w:rFonts w:ascii="Century Gothic" w:eastAsia="Century Gothic" w:hAnsi="Century Gothic" w:cs="Century Gothic"/>
          <w:b/>
          <w:bCs/>
          <w:sz w:val="22"/>
          <w:szCs w:val="22"/>
        </w:rPr>
        <w:t xml:space="preserve">los separadores de privacidad con control electrónico en </w:t>
      </w:r>
      <w:r>
        <w:rPr>
          <w:rFonts w:ascii="Century Gothic" w:eastAsia="Century Gothic" w:hAnsi="Century Gothic" w:cs="Century Gothic"/>
          <w:b/>
          <w:bCs/>
          <w:i/>
          <w:iCs/>
          <w:sz w:val="22"/>
          <w:szCs w:val="22"/>
        </w:rPr>
        <w:t>Premium Economy</w:t>
      </w:r>
      <w:r>
        <w:rPr>
          <w:rFonts w:ascii="Century Gothic" w:eastAsia="Century Gothic" w:hAnsi="Century Gothic" w:cs="Century Gothic"/>
          <w:b/>
          <w:bCs/>
          <w:sz w:val="22"/>
          <w:szCs w:val="22"/>
        </w:rPr>
        <w:t>.</w:t>
      </w:r>
      <w:r>
        <w:rPr>
          <w:rFonts w:ascii="Century Gothic" w:eastAsia="Century Gothic" w:hAnsi="Century Gothic" w:cs="Century Gothic"/>
          <w:sz w:val="22"/>
          <w:szCs w:val="22"/>
        </w:rPr>
        <w:t xml:space="preserve"> Estas innovaciones han elevado el nivel del viaje en </w:t>
      </w:r>
      <w:r>
        <w:rPr>
          <w:rFonts w:ascii="Century Gothic" w:eastAsia="Century Gothic" w:hAnsi="Century Gothic" w:cs="Century Gothic"/>
          <w:i/>
          <w:iCs/>
          <w:sz w:val="22"/>
          <w:szCs w:val="22"/>
        </w:rPr>
        <w:t>Economy Class</w:t>
      </w:r>
      <w:r>
        <w:rPr>
          <w:rFonts w:ascii="Century Gothic" w:eastAsia="Century Gothic" w:hAnsi="Century Gothic" w:cs="Century Gothic"/>
          <w:sz w:val="22"/>
          <w:szCs w:val="22"/>
        </w:rPr>
        <w:t xml:space="preserve"> y </w:t>
      </w:r>
      <w:r>
        <w:rPr>
          <w:rFonts w:ascii="Century Gothic" w:eastAsia="Century Gothic" w:hAnsi="Century Gothic" w:cs="Century Gothic"/>
          <w:i/>
          <w:iCs/>
          <w:sz w:val="22"/>
          <w:szCs w:val="22"/>
        </w:rPr>
        <w:t>Premium Economy</w:t>
      </w:r>
      <w:r>
        <w:rPr>
          <w:rFonts w:ascii="Century Gothic" w:eastAsia="Century Gothic" w:hAnsi="Century Gothic" w:cs="Century Gothic"/>
          <w:sz w:val="22"/>
          <w:szCs w:val="22"/>
        </w:rPr>
        <w:t>, y redefinen el confort y la privacidad para los clientes de estas cabinas.</w:t>
      </w:r>
    </w:p>
    <w:p w14:paraId="115399F3" w14:textId="77777777" w:rsidR="00B06616" w:rsidRDefault="00B06616">
      <w:pPr>
        <w:jc w:val="both"/>
      </w:pPr>
    </w:p>
    <w:p w14:paraId="4F45CB2E"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En tierra, Emirates ha inaugurado las primeras </w:t>
      </w:r>
      <w:r>
        <w:rPr>
          <w:rFonts w:ascii="Century Gothic" w:eastAsia="Century Gothic" w:hAnsi="Century Gothic" w:cs="Century Gothic"/>
          <w:b/>
          <w:bCs/>
          <w:sz w:val="22"/>
          <w:szCs w:val="22"/>
          <w:highlight w:val="white"/>
        </w:rPr>
        <w:t xml:space="preserve">salas VIP </w:t>
      </w:r>
      <w:r>
        <w:rPr>
          <w:rFonts w:ascii="Century Gothic" w:eastAsia="Century Gothic" w:hAnsi="Century Gothic" w:cs="Century Gothic"/>
          <w:b/>
          <w:bCs/>
          <w:sz w:val="22"/>
          <w:szCs w:val="22"/>
        </w:rPr>
        <w:t>de nuevo concepto</w:t>
      </w:r>
      <w:r>
        <w:rPr>
          <w:rFonts w:ascii="Century Gothic" w:eastAsia="Century Gothic" w:hAnsi="Century Gothic" w:cs="Century Gothic"/>
          <w:sz w:val="22"/>
          <w:szCs w:val="22"/>
        </w:rPr>
        <w:t xml:space="preserve"> en Múnich, Fráncfort y Mánchester, con la última paleta de diseño interior de la aerolínea y servicios mejorados para clientes </w:t>
      </w:r>
      <w:r>
        <w:rPr>
          <w:rFonts w:ascii="Century Gothic" w:eastAsia="Century Gothic" w:hAnsi="Century Gothic" w:cs="Century Gothic"/>
          <w:i/>
          <w:iCs/>
          <w:sz w:val="22"/>
          <w:szCs w:val="22"/>
        </w:rPr>
        <w:t>premium</w:t>
      </w:r>
      <w:r>
        <w:rPr>
          <w:rFonts w:ascii="Century Gothic" w:eastAsia="Century Gothic" w:hAnsi="Century Gothic" w:cs="Century Gothic"/>
          <w:sz w:val="22"/>
          <w:szCs w:val="22"/>
        </w:rPr>
        <w:t xml:space="preserve"> y viajeros frecuentes. La compañía también ha abierto </w:t>
      </w:r>
      <w:r>
        <w:rPr>
          <w:rFonts w:ascii="Century Gothic" w:eastAsia="Century Gothic" w:hAnsi="Century Gothic" w:cs="Century Gothic"/>
          <w:b/>
          <w:bCs/>
          <w:sz w:val="22"/>
          <w:szCs w:val="22"/>
        </w:rPr>
        <w:t xml:space="preserve">nuevas </w:t>
      </w:r>
      <w:proofErr w:type="spellStart"/>
      <w:r>
        <w:rPr>
          <w:rFonts w:ascii="Century Gothic" w:eastAsia="Century Gothic" w:hAnsi="Century Gothic" w:cs="Century Gothic"/>
          <w:b/>
          <w:bCs/>
          <w:i/>
          <w:iCs/>
          <w:sz w:val="22"/>
          <w:szCs w:val="22"/>
        </w:rPr>
        <w:t>travel</w:t>
      </w:r>
      <w:proofErr w:type="spellEnd"/>
      <w:r>
        <w:rPr>
          <w:rFonts w:ascii="Century Gothic" w:eastAsia="Century Gothic" w:hAnsi="Century Gothic" w:cs="Century Gothic"/>
          <w:b/>
          <w:bCs/>
          <w:i/>
          <w:iCs/>
          <w:sz w:val="22"/>
          <w:szCs w:val="22"/>
        </w:rPr>
        <w:t xml:space="preserve"> </w:t>
      </w:r>
      <w:proofErr w:type="spellStart"/>
      <w:r>
        <w:rPr>
          <w:rFonts w:ascii="Century Gothic" w:eastAsia="Century Gothic" w:hAnsi="Century Gothic" w:cs="Century Gothic"/>
          <w:b/>
          <w:bCs/>
          <w:i/>
          <w:iCs/>
          <w:sz w:val="22"/>
          <w:szCs w:val="22"/>
        </w:rPr>
        <w:t>stores</w:t>
      </w:r>
      <w:proofErr w:type="spellEnd"/>
      <w:r>
        <w:rPr>
          <w:rFonts w:ascii="Century Gothic" w:eastAsia="Century Gothic" w:hAnsi="Century Gothic" w:cs="Century Gothic"/>
          <w:b/>
          <w:bCs/>
          <w:sz w:val="22"/>
          <w:szCs w:val="22"/>
        </w:rPr>
        <w:t>,</w:t>
      </w:r>
      <w:r>
        <w:rPr>
          <w:rFonts w:ascii="Century Gothic" w:eastAsia="Century Gothic" w:hAnsi="Century Gothic" w:cs="Century Gothic"/>
          <w:sz w:val="22"/>
          <w:szCs w:val="22"/>
        </w:rPr>
        <w:t xml:space="preserve"> con lo que su red de puntos de venta supera ya los 30 establecimientos y ofrece a los clientes más puntos de contacto personales y experienciales.</w:t>
      </w:r>
    </w:p>
    <w:p w14:paraId="43907DA0" w14:textId="77777777" w:rsidR="00B06616" w:rsidRDefault="00B06616">
      <w:pPr>
        <w:jc w:val="both"/>
        <w:rPr>
          <w:rFonts w:ascii="Century Gothic" w:eastAsia="Century Gothic" w:hAnsi="Century Gothic" w:cs="Century Gothic"/>
          <w:sz w:val="22"/>
          <w:szCs w:val="22"/>
        </w:rPr>
      </w:pPr>
    </w:p>
    <w:p w14:paraId="19303BC5"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La aerolínea ha continuado con su trabajo para hacer </w:t>
      </w:r>
      <w:r>
        <w:rPr>
          <w:rFonts w:ascii="Century Gothic" w:eastAsia="Century Gothic" w:hAnsi="Century Gothic" w:cs="Century Gothic"/>
          <w:b/>
          <w:bCs/>
          <w:sz w:val="22"/>
          <w:szCs w:val="22"/>
        </w:rPr>
        <w:t xml:space="preserve">el viaje más inclusivo </w:t>
      </w:r>
      <w:r>
        <w:rPr>
          <w:rFonts w:ascii="Century Gothic" w:eastAsia="Century Gothic" w:hAnsi="Century Gothic" w:cs="Century Gothic"/>
          <w:sz w:val="22"/>
          <w:szCs w:val="22"/>
        </w:rPr>
        <w:t xml:space="preserve">con la extensión del programa </w:t>
      </w:r>
      <w:r>
        <w:rPr>
          <w:rFonts w:ascii="Century Gothic" w:eastAsia="Century Gothic" w:hAnsi="Century Gothic" w:cs="Century Gothic"/>
          <w:i/>
          <w:iCs/>
          <w:sz w:val="22"/>
          <w:szCs w:val="22"/>
        </w:rPr>
        <w:t xml:space="preserve">Travel </w:t>
      </w:r>
      <w:proofErr w:type="spellStart"/>
      <w:r>
        <w:rPr>
          <w:rFonts w:ascii="Century Gothic" w:eastAsia="Century Gothic" w:hAnsi="Century Gothic" w:cs="Century Gothic"/>
          <w:i/>
          <w:iCs/>
          <w:sz w:val="22"/>
          <w:szCs w:val="22"/>
        </w:rPr>
        <w:t>Rehearsals</w:t>
      </w:r>
      <w:proofErr w:type="spellEnd"/>
      <w:r>
        <w:rPr>
          <w:rFonts w:ascii="Century Gothic" w:eastAsia="Century Gothic" w:hAnsi="Century Gothic" w:cs="Century Gothic"/>
          <w:sz w:val="22"/>
          <w:szCs w:val="22"/>
        </w:rPr>
        <w:t xml:space="preserve"> a 15 escalas más en Reino Unido, Australia, Portugal, Filipinas, Madagascar y Maldivas durante el primer semestre del ejercicio 2026-27. Este exitoso programa, que se ha desarrollado ya en 47 aeropuertos, acompaña a jóvenes viajeros con autismo y a sus familias y les ayuda a ganar confianza y a reducir la ansiedad ante el viaje mediante simulaciones reales de aeropuerto y de vuelo.</w:t>
      </w:r>
    </w:p>
    <w:p w14:paraId="6A71A378" w14:textId="77777777" w:rsidR="00B06616" w:rsidRDefault="00B06616">
      <w:pPr>
        <w:jc w:val="both"/>
      </w:pPr>
    </w:p>
    <w:p w14:paraId="2499278F"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Emirates también </w:t>
      </w:r>
      <w:r>
        <w:rPr>
          <w:rFonts w:ascii="Century Gothic" w:eastAsia="Century Gothic" w:hAnsi="Century Gothic" w:cs="Century Gothic"/>
          <w:b/>
          <w:bCs/>
          <w:sz w:val="22"/>
          <w:szCs w:val="22"/>
        </w:rPr>
        <w:t>ha seguido generando un impacto positivo en las comunidades</w:t>
      </w:r>
      <w:r>
        <w:rPr>
          <w:rFonts w:ascii="Century Gothic" w:eastAsia="Century Gothic" w:hAnsi="Century Gothic" w:cs="Century Gothic"/>
          <w:sz w:val="22"/>
          <w:szCs w:val="22"/>
        </w:rPr>
        <w:t xml:space="preserve">, con programas de responsabilidad social corporativa desarrollados junto a sus socios en mercados clave. En el primer semestre del año, las iniciativas han incluido la reapertura de una pista de tenis comunitaria rehabilitada en Miami dentro del programa </w:t>
      </w:r>
      <w:r>
        <w:rPr>
          <w:rFonts w:ascii="Century Gothic" w:eastAsia="Century Gothic" w:hAnsi="Century Gothic" w:cs="Century Gothic"/>
          <w:i/>
          <w:iCs/>
          <w:sz w:val="22"/>
          <w:szCs w:val="22"/>
        </w:rPr>
        <w:t xml:space="preserve">Force </w:t>
      </w:r>
      <w:proofErr w:type="spellStart"/>
      <w:r>
        <w:rPr>
          <w:rFonts w:ascii="Century Gothic" w:eastAsia="Century Gothic" w:hAnsi="Century Gothic" w:cs="Century Gothic"/>
          <w:i/>
          <w:iCs/>
          <w:sz w:val="22"/>
          <w:szCs w:val="22"/>
        </w:rPr>
        <w:t>for</w:t>
      </w:r>
      <w:proofErr w:type="spellEnd"/>
      <w:r>
        <w:rPr>
          <w:rFonts w:ascii="Century Gothic" w:eastAsia="Century Gothic" w:hAnsi="Century Gothic" w:cs="Century Gothic"/>
          <w:i/>
          <w:iCs/>
          <w:sz w:val="22"/>
          <w:szCs w:val="22"/>
        </w:rPr>
        <w:t xml:space="preserve"> Good</w:t>
      </w:r>
      <w:r>
        <w:rPr>
          <w:rFonts w:ascii="Century Gothic" w:eastAsia="Century Gothic" w:hAnsi="Century Gothic" w:cs="Century Gothic"/>
          <w:sz w:val="22"/>
          <w:szCs w:val="22"/>
        </w:rPr>
        <w:t xml:space="preserve"> con la USTA </w:t>
      </w:r>
      <w:proofErr w:type="spellStart"/>
      <w:r>
        <w:rPr>
          <w:rFonts w:ascii="Century Gothic" w:eastAsia="Century Gothic" w:hAnsi="Century Gothic" w:cs="Century Gothic"/>
          <w:sz w:val="22"/>
          <w:szCs w:val="22"/>
        </w:rPr>
        <w:t>Foundation</w:t>
      </w:r>
      <w:proofErr w:type="spellEnd"/>
      <w:r>
        <w:rPr>
          <w:rFonts w:ascii="Century Gothic" w:eastAsia="Century Gothic" w:hAnsi="Century Gothic" w:cs="Century Gothic"/>
          <w:sz w:val="22"/>
          <w:szCs w:val="22"/>
        </w:rPr>
        <w:t xml:space="preserve">; la renovación de una sala de tecnología y videojuegos para jóvenes en Nueva York con NBA Cares; una nueva zona de </w:t>
      </w:r>
      <w:r>
        <w:rPr>
          <w:rFonts w:ascii="Century Gothic" w:eastAsia="Century Gothic" w:hAnsi="Century Gothic" w:cs="Century Gothic"/>
          <w:sz w:val="22"/>
          <w:szCs w:val="22"/>
          <w:highlight w:val="white"/>
        </w:rPr>
        <w:t xml:space="preserve">juego al aire libre </w:t>
      </w:r>
      <w:r>
        <w:rPr>
          <w:rFonts w:ascii="Century Gothic" w:eastAsia="Century Gothic" w:hAnsi="Century Gothic" w:cs="Century Gothic"/>
          <w:sz w:val="22"/>
          <w:szCs w:val="22"/>
        </w:rPr>
        <w:t xml:space="preserve">con London </w:t>
      </w:r>
      <w:proofErr w:type="spellStart"/>
      <w:r>
        <w:rPr>
          <w:rFonts w:ascii="Century Gothic" w:eastAsia="Century Gothic" w:hAnsi="Century Gothic" w:cs="Century Gothic"/>
          <w:sz w:val="22"/>
          <w:szCs w:val="22"/>
        </w:rPr>
        <w:t>Wildlife</w:t>
      </w:r>
      <w:proofErr w:type="spellEnd"/>
      <w:r>
        <w:rPr>
          <w:rFonts w:ascii="Century Gothic" w:eastAsia="Century Gothic" w:hAnsi="Century Gothic" w:cs="Century Gothic"/>
          <w:sz w:val="22"/>
          <w:szCs w:val="22"/>
        </w:rPr>
        <w:t xml:space="preserve"> Trust dentro del programa </w:t>
      </w:r>
      <w:proofErr w:type="spellStart"/>
      <w:r>
        <w:rPr>
          <w:rFonts w:ascii="Century Gothic" w:eastAsia="Century Gothic" w:hAnsi="Century Gothic" w:cs="Century Gothic"/>
          <w:i/>
          <w:iCs/>
          <w:sz w:val="22"/>
          <w:szCs w:val="22"/>
        </w:rPr>
        <w:t>Championing</w:t>
      </w:r>
      <w:proofErr w:type="spellEnd"/>
      <w:r>
        <w:rPr>
          <w:rFonts w:ascii="Century Gothic" w:eastAsia="Century Gothic" w:hAnsi="Century Gothic" w:cs="Century Gothic"/>
          <w:i/>
          <w:iCs/>
          <w:sz w:val="22"/>
          <w:szCs w:val="22"/>
        </w:rPr>
        <w:t xml:space="preserve"> Nature</w:t>
      </w:r>
      <w:r>
        <w:rPr>
          <w:rFonts w:ascii="Century Gothic" w:eastAsia="Century Gothic" w:hAnsi="Century Gothic" w:cs="Century Gothic"/>
          <w:sz w:val="22"/>
          <w:szCs w:val="22"/>
        </w:rPr>
        <w:t xml:space="preserve"> con Wimbledon; y el lanzamiento del Emirates</w:t>
      </w:r>
      <w:r>
        <w:rPr>
          <w:rFonts w:ascii="Century Gothic" w:eastAsia="Century Gothic" w:hAnsi="Century Gothic" w:cs="Century Gothic"/>
          <w:i/>
          <w:iCs/>
          <w:sz w:val="22"/>
          <w:szCs w:val="22"/>
        </w:rPr>
        <w:t xml:space="preserve"> </w:t>
      </w:r>
      <w:proofErr w:type="spellStart"/>
      <w:r>
        <w:rPr>
          <w:rFonts w:ascii="Century Gothic" w:eastAsia="Century Gothic" w:hAnsi="Century Gothic" w:cs="Century Gothic"/>
          <w:i/>
          <w:iCs/>
          <w:sz w:val="22"/>
          <w:szCs w:val="22"/>
        </w:rPr>
        <w:t>Nourishment</w:t>
      </w:r>
      <w:proofErr w:type="spellEnd"/>
      <w:r>
        <w:rPr>
          <w:rFonts w:ascii="Century Gothic" w:eastAsia="Century Gothic" w:hAnsi="Century Gothic" w:cs="Century Gothic"/>
          <w:i/>
          <w:iCs/>
          <w:sz w:val="22"/>
          <w:szCs w:val="22"/>
        </w:rPr>
        <w:t xml:space="preserve"> </w:t>
      </w:r>
      <w:proofErr w:type="spellStart"/>
      <w:r>
        <w:rPr>
          <w:rFonts w:ascii="Century Gothic" w:eastAsia="Century Gothic" w:hAnsi="Century Gothic" w:cs="Century Gothic"/>
          <w:i/>
          <w:iCs/>
          <w:sz w:val="22"/>
          <w:szCs w:val="22"/>
        </w:rPr>
        <w:t>Programme</w:t>
      </w:r>
      <w:proofErr w:type="spellEnd"/>
      <w:r>
        <w:rPr>
          <w:rFonts w:ascii="Century Gothic" w:eastAsia="Century Gothic" w:hAnsi="Century Gothic" w:cs="Century Gothic"/>
          <w:sz w:val="22"/>
          <w:szCs w:val="22"/>
        </w:rPr>
        <w:t xml:space="preserve">, que entregará 400.000 desayunos anuales a menores en situación desfavorecida en Sudáfrica en colaboración con EPCR y la </w:t>
      </w:r>
      <w:proofErr w:type="spellStart"/>
      <w:r>
        <w:rPr>
          <w:rFonts w:ascii="Century Gothic" w:eastAsia="Century Gothic" w:hAnsi="Century Gothic" w:cs="Century Gothic"/>
          <w:sz w:val="22"/>
          <w:szCs w:val="22"/>
        </w:rPr>
        <w:t>Kolisi</w:t>
      </w:r>
      <w:proofErr w:type="spellEnd"/>
      <w:r>
        <w:rPr>
          <w:rFonts w:ascii="Century Gothic" w:eastAsia="Century Gothic" w:hAnsi="Century Gothic" w:cs="Century Gothic"/>
          <w:sz w:val="22"/>
          <w:szCs w:val="22"/>
        </w:rPr>
        <w:t xml:space="preserve"> </w:t>
      </w:r>
      <w:proofErr w:type="spellStart"/>
      <w:r>
        <w:rPr>
          <w:rFonts w:ascii="Century Gothic" w:eastAsia="Century Gothic" w:hAnsi="Century Gothic" w:cs="Century Gothic"/>
          <w:sz w:val="22"/>
          <w:szCs w:val="22"/>
        </w:rPr>
        <w:t>Foundation</w:t>
      </w:r>
      <w:proofErr w:type="spellEnd"/>
      <w:r>
        <w:rPr>
          <w:rFonts w:ascii="Century Gothic" w:eastAsia="Century Gothic" w:hAnsi="Century Gothic" w:cs="Century Gothic"/>
          <w:sz w:val="22"/>
          <w:szCs w:val="22"/>
        </w:rPr>
        <w:t>.</w:t>
      </w:r>
    </w:p>
    <w:p w14:paraId="228F612F" w14:textId="77777777" w:rsidR="00B06616" w:rsidRDefault="00B06616">
      <w:pPr>
        <w:jc w:val="both"/>
      </w:pPr>
    </w:p>
    <w:p w14:paraId="718FFF72"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Durante el primer semestre del ejercicio 2026-27, Emirates ha ampliado sus acuerdos de patrocinio con el Arsenal </w:t>
      </w:r>
      <w:proofErr w:type="spellStart"/>
      <w:r>
        <w:rPr>
          <w:rFonts w:ascii="Century Gothic" w:eastAsia="Century Gothic" w:hAnsi="Century Gothic" w:cs="Century Gothic"/>
          <w:sz w:val="22"/>
          <w:szCs w:val="22"/>
        </w:rPr>
        <w:t>Football</w:t>
      </w:r>
      <w:proofErr w:type="spellEnd"/>
      <w:r>
        <w:rPr>
          <w:rFonts w:ascii="Century Gothic" w:eastAsia="Century Gothic" w:hAnsi="Century Gothic" w:cs="Century Gothic"/>
          <w:sz w:val="22"/>
          <w:szCs w:val="22"/>
        </w:rPr>
        <w:t xml:space="preserve"> Club (hasta 2033) y con el Real Madrid (hasta 2031), dos inversiones plurianuales en visibilidad de marca a escala global junto a dos de los clubes de fútbol más destacados del mundo.</w:t>
      </w:r>
    </w:p>
    <w:p w14:paraId="3C479B2C" w14:textId="77777777" w:rsidR="00B06616" w:rsidRDefault="00B06616">
      <w:pPr>
        <w:jc w:val="both"/>
      </w:pPr>
    </w:p>
    <w:p w14:paraId="2218A9E6"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La capacidad total durante los seis primeros meses del año ha descendido un 10 %, hasta los 28.200 millones de </w:t>
      </w:r>
      <w:r>
        <w:rPr>
          <w:rFonts w:ascii="Century Gothic" w:eastAsia="Century Gothic" w:hAnsi="Century Gothic" w:cs="Century Gothic"/>
          <w:b/>
          <w:bCs/>
          <w:sz w:val="22"/>
          <w:szCs w:val="22"/>
        </w:rPr>
        <w:t>ATKM</w:t>
      </w:r>
      <w:r>
        <w:rPr>
          <w:rFonts w:ascii="Century Gothic" w:eastAsia="Century Gothic" w:hAnsi="Century Gothic" w:cs="Century Gothic"/>
          <w:sz w:val="22"/>
          <w:szCs w:val="22"/>
        </w:rPr>
        <w:t>, por la reducción del programa de vuelos. La capacidad medida en asientos-kilómetro ofertados (</w:t>
      </w:r>
      <w:r>
        <w:rPr>
          <w:rFonts w:ascii="Century Gothic" w:eastAsia="Century Gothic" w:hAnsi="Century Gothic" w:cs="Century Gothic"/>
          <w:b/>
          <w:bCs/>
          <w:sz w:val="22"/>
          <w:szCs w:val="22"/>
        </w:rPr>
        <w:t>ASKM</w:t>
      </w:r>
      <w:r>
        <w:rPr>
          <w:rFonts w:ascii="Century Gothic" w:eastAsia="Century Gothic" w:hAnsi="Century Gothic" w:cs="Century Gothic"/>
          <w:sz w:val="22"/>
          <w:szCs w:val="22"/>
        </w:rPr>
        <w:t xml:space="preserve">) ha caído un 17 %, mientras que el tráfico de pasajeros transportados, medido por </w:t>
      </w:r>
      <w:proofErr w:type="spellStart"/>
      <w:r>
        <w:rPr>
          <w:rFonts w:ascii="Century Gothic" w:eastAsia="Century Gothic" w:hAnsi="Century Gothic" w:cs="Century Gothic"/>
          <w:i/>
          <w:iCs/>
          <w:sz w:val="22"/>
          <w:szCs w:val="22"/>
        </w:rPr>
        <w:t>Revenue</w:t>
      </w:r>
      <w:proofErr w:type="spellEnd"/>
      <w:r>
        <w:rPr>
          <w:rFonts w:ascii="Century Gothic" w:eastAsia="Century Gothic" w:hAnsi="Century Gothic" w:cs="Century Gothic"/>
          <w:i/>
          <w:iCs/>
          <w:sz w:val="22"/>
          <w:szCs w:val="22"/>
        </w:rPr>
        <w:t xml:space="preserve"> Passenger Kilometre</w:t>
      </w:r>
      <w:r>
        <w:rPr>
          <w:rFonts w:ascii="Century Gothic" w:eastAsia="Century Gothic" w:hAnsi="Century Gothic" w:cs="Century Gothic"/>
          <w:sz w:val="22"/>
          <w:szCs w:val="22"/>
        </w:rPr>
        <w:t xml:space="preserve"> (</w:t>
      </w:r>
      <w:r>
        <w:rPr>
          <w:rFonts w:ascii="Century Gothic" w:eastAsia="Century Gothic" w:hAnsi="Century Gothic" w:cs="Century Gothic"/>
          <w:b/>
          <w:bCs/>
          <w:sz w:val="22"/>
          <w:szCs w:val="22"/>
        </w:rPr>
        <w:t>RPKM</w:t>
      </w:r>
      <w:r>
        <w:rPr>
          <w:rFonts w:ascii="Century Gothic" w:eastAsia="Century Gothic" w:hAnsi="Century Gothic" w:cs="Century Gothic"/>
          <w:sz w:val="22"/>
          <w:szCs w:val="22"/>
        </w:rPr>
        <w:t>), ha bajado un 25 %, con una ocupación promedio del 72 %, frente al 79,5 % del mismo periodo del año anterior. Emirates ha transportado 21,8 millones de pasajeros entre el 1 de abril y el 30 de septiembre de 2026, un 22 % menos que en el mismo periodo del año anterior.</w:t>
      </w:r>
    </w:p>
    <w:p w14:paraId="273A97E6" w14:textId="77777777" w:rsidR="00B06616" w:rsidRDefault="00B06616">
      <w:pPr>
        <w:jc w:val="both"/>
      </w:pPr>
    </w:p>
    <w:p w14:paraId="0DE22701"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Emirates </w:t>
      </w:r>
      <w:proofErr w:type="spellStart"/>
      <w:r>
        <w:rPr>
          <w:rFonts w:ascii="Century Gothic" w:eastAsia="Century Gothic" w:hAnsi="Century Gothic" w:cs="Century Gothic"/>
          <w:b/>
          <w:bCs/>
          <w:sz w:val="22"/>
          <w:szCs w:val="22"/>
        </w:rPr>
        <w:t>SkyCargo</w:t>
      </w:r>
      <w:proofErr w:type="spellEnd"/>
      <w:r>
        <w:rPr>
          <w:rFonts w:ascii="Century Gothic" w:eastAsia="Century Gothic" w:hAnsi="Century Gothic" w:cs="Century Gothic"/>
          <w:sz w:val="22"/>
          <w:szCs w:val="22"/>
        </w:rPr>
        <w:t xml:space="preserve"> ha transportado 1,2 millones de toneladas en los seis primeros meses del año, un 1 % menos que en el mismo periodo del año anterior. Sin embargo, los </w:t>
      </w:r>
      <w:r>
        <w:rPr>
          <w:rFonts w:ascii="Century Gothic" w:eastAsia="Century Gothic" w:hAnsi="Century Gothic" w:cs="Century Gothic"/>
          <w:sz w:val="22"/>
          <w:szCs w:val="22"/>
        </w:rPr>
        <w:lastRenderedPageBreak/>
        <w:t>ingresos de carga han aumentado un 52 %, ya que el conflicto regional ha reducido la capacidad de transporte aéreo disponible y, al mismo tiempo, llevó a los cargadores a buscar alternativas por vía aérea debido a las interrupciones del transporte marítimo.</w:t>
      </w:r>
    </w:p>
    <w:p w14:paraId="37FEF9AD" w14:textId="77777777" w:rsidR="00B06616" w:rsidRDefault="00B06616">
      <w:pPr>
        <w:jc w:val="both"/>
      </w:pPr>
    </w:p>
    <w:p w14:paraId="4BBD310C"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En el primer semestre del ejercicio 2026-27,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ha ampliado su capacidad con la entrega de cinco nuevos Boeing 777 cargueros y la puesta en servicio de su primer avión convertido de pasaje a carga. La división de carga ha ampliado su red de cargueros con dos nuevos destinos, Almaty y Zhengzhou; ha introducido servicios específicos de carguero a más de 15 destinos ya operados por Emirates y ha aumentado frecuencias en varios mercados clave, entre ellos los de Extremo Oriente.</w:t>
      </w:r>
    </w:p>
    <w:p w14:paraId="340F72FA" w14:textId="77777777" w:rsidR="00B06616" w:rsidRDefault="00B06616">
      <w:pPr>
        <w:jc w:val="both"/>
      </w:pPr>
    </w:p>
    <w:p w14:paraId="4FBA9D96"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Los beneficios antes de impuestos</w:t>
      </w:r>
      <w:r>
        <w:rPr>
          <w:rFonts w:ascii="Century Gothic" w:eastAsia="Century Gothic" w:hAnsi="Century Gothic" w:cs="Century Gothic"/>
          <w:sz w:val="22"/>
          <w:szCs w:val="22"/>
        </w:rPr>
        <w:t xml:space="preserve"> de Emirates en el primer semestre del ejercicio 2026-27 han alcanzado los 3700 millones de AED (1000 millones de USD), frente a los 11.400 millones de AED (3100 millones de USD) de su resultado récord en el mismo periodo del año anterior. Los beneficios después de impuestos de Emirates se sitúan en 3300 millones de AED (903 millones de USD), un 66 % menos.</w:t>
      </w:r>
    </w:p>
    <w:p w14:paraId="453C693F" w14:textId="77777777" w:rsidR="00B06616" w:rsidRDefault="00B06616">
      <w:pPr>
        <w:jc w:val="both"/>
      </w:pPr>
    </w:p>
    <w:p w14:paraId="399E62FD"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Los </w:t>
      </w:r>
      <w:r>
        <w:rPr>
          <w:rFonts w:ascii="Century Gothic" w:eastAsia="Century Gothic" w:hAnsi="Century Gothic" w:cs="Century Gothic"/>
          <w:b/>
          <w:bCs/>
          <w:sz w:val="22"/>
          <w:szCs w:val="22"/>
        </w:rPr>
        <w:t xml:space="preserve">ingresos </w:t>
      </w:r>
      <w:r>
        <w:rPr>
          <w:rFonts w:ascii="Century Gothic" w:eastAsia="Century Gothic" w:hAnsi="Century Gothic" w:cs="Century Gothic"/>
          <w:sz w:val="22"/>
          <w:szCs w:val="22"/>
        </w:rPr>
        <w:t xml:space="preserve">de Emirates, incluidos otros ingresos de explotación, han sido de 56.900 millones de AED (15.500 millones de USD), un 13 % menos que los 65.600 millones de AED (17.900 millones de USD) del año anterior. El comportamiento de los ingresos se explica por la demanda sostenida de viajes en sus mercados, especialmente en las cabinas </w:t>
      </w:r>
      <w:r>
        <w:rPr>
          <w:rFonts w:ascii="Century Gothic" w:eastAsia="Century Gothic" w:hAnsi="Century Gothic" w:cs="Century Gothic"/>
          <w:i/>
          <w:iCs/>
          <w:sz w:val="22"/>
          <w:szCs w:val="22"/>
        </w:rPr>
        <w:t>premium</w:t>
      </w:r>
      <w:r>
        <w:rPr>
          <w:rFonts w:ascii="Century Gothic" w:eastAsia="Century Gothic" w:hAnsi="Century Gothic" w:cs="Century Gothic"/>
          <w:sz w:val="22"/>
          <w:szCs w:val="22"/>
        </w:rPr>
        <w:t xml:space="preserve"> de Emirates y por la sólida aportación del negocio de carga de la aerolínea.</w:t>
      </w:r>
    </w:p>
    <w:p w14:paraId="0C485A3B" w14:textId="77777777" w:rsidR="00B06616" w:rsidRDefault="00B06616">
      <w:pPr>
        <w:jc w:val="both"/>
      </w:pPr>
    </w:p>
    <w:p w14:paraId="4EBA4680"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Los </w:t>
      </w:r>
      <w:r>
        <w:rPr>
          <w:rFonts w:ascii="Century Gothic" w:eastAsia="Century Gothic" w:hAnsi="Century Gothic" w:cs="Century Gothic"/>
          <w:b/>
          <w:bCs/>
          <w:sz w:val="22"/>
          <w:szCs w:val="22"/>
        </w:rPr>
        <w:t>costes operativos de Emirates,</w:t>
      </w:r>
      <w:r>
        <w:rPr>
          <w:rFonts w:ascii="Century Gothic" w:eastAsia="Century Gothic" w:hAnsi="Century Gothic" w:cs="Century Gothic"/>
          <w:sz w:val="22"/>
          <w:szCs w:val="22"/>
        </w:rPr>
        <w:t xml:space="preserve"> combustible incluido, han bajado un 2 % en línea con la operación. Pese a una reducción del 12 % en el repostaje por el menor volumen de operaciones, los costes de combustible de la aerolínea, antes de las ganancias por cobertura, han subido un 60 % respecto al semestre anterior. Unas ganancias de 7100 millones de AED, derivadas de su estrategia de gestión del riesgo de precio del combustible, han compensado de forma significativa el impacto de los precios más altos y han reducido al 13 % el incremento neto del coste del combustible, que sigue siendo la mayor partida del coste operativo de la aerolínea, con un 34 %.</w:t>
      </w:r>
    </w:p>
    <w:p w14:paraId="5B2F77C3" w14:textId="77777777" w:rsidR="00B06616" w:rsidRDefault="00B06616">
      <w:pPr>
        <w:jc w:val="both"/>
      </w:pPr>
    </w:p>
    <w:p w14:paraId="471256D2"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El EBITDA de Emirates</w:t>
      </w:r>
      <w:r>
        <w:rPr>
          <w:rFonts w:ascii="Century Gothic" w:eastAsia="Century Gothic" w:hAnsi="Century Gothic" w:cs="Century Gothic"/>
          <w:sz w:val="22"/>
          <w:szCs w:val="22"/>
        </w:rPr>
        <w:t xml:space="preserve"> se situó en 11.500 millones de AED (3100 millones de USD), manteniéndose en niveles sólidos, pese a registrar un descenso del 41 % respecto a los 19.700 millones de AED (5400 millones de USD) del mismo periodo del año anterior.</w:t>
      </w:r>
    </w:p>
    <w:p w14:paraId="25998E1B" w14:textId="77777777" w:rsidR="00B06616" w:rsidRDefault="00B06616">
      <w:pPr>
        <w:jc w:val="both"/>
      </w:pPr>
    </w:p>
    <w:p w14:paraId="0EED7728"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Los ingresos de Emirates </w:t>
      </w:r>
      <w:r>
        <w:rPr>
          <w:rFonts w:ascii="Century Gothic" w:eastAsia="Century Gothic" w:hAnsi="Century Gothic" w:cs="Century Gothic"/>
          <w:b/>
          <w:bCs/>
          <w:i/>
          <w:iCs/>
          <w:sz w:val="22"/>
          <w:szCs w:val="22"/>
        </w:rPr>
        <w:t>Flight Catering</w:t>
      </w:r>
      <w:r>
        <w:rPr>
          <w:rFonts w:ascii="Century Gothic" w:eastAsia="Century Gothic" w:hAnsi="Century Gothic" w:cs="Century Gothic"/>
          <w:sz w:val="22"/>
          <w:szCs w:val="22"/>
        </w:rPr>
        <w:t xml:space="preserve"> procedentes de clientes externos han descendido un 51 %, hasta los 273 millones de AED (74 millones de USD). Los 4,5 millones de comidas embarcadas suponen un 41 % menos por la reducción del tráfico aéreo en el aeropuerto de Dubái durante el periodo.</w:t>
      </w:r>
    </w:p>
    <w:p w14:paraId="4700E8BC" w14:textId="77777777" w:rsidR="00B06616" w:rsidRDefault="00B06616">
      <w:pPr>
        <w:jc w:val="both"/>
      </w:pPr>
    </w:p>
    <w:p w14:paraId="08ED5EC6"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Los ingresos de Emirates </w:t>
      </w:r>
      <w:r>
        <w:rPr>
          <w:rFonts w:ascii="Century Gothic" w:eastAsia="Century Gothic" w:hAnsi="Century Gothic" w:cs="Century Gothic"/>
          <w:b/>
          <w:bCs/>
          <w:i/>
          <w:iCs/>
          <w:sz w:val="22"/>
          <w:szCs w:val="22"/>
        </w:rPr>
        <w:t xml:space="preserve">Leisure </w:t>
      </w:r>
      <w:proofErr w:type="spellStart"/>
      <w:r>
        <w:rPr>
          <w:rFonts w:ascii="Century Gothic" w:eastAsia="Century Gothic" w:hAnsi="Century Gothic" w:cs="Century Gothic"/>
          <w:b/>
          <w:bCs/>
          <w:i/>
          <w:iCs/>
          <w:sz w:val="22"/>
          <w:szCs w:val="22"/>
        </w:rPr>
        <w:t>Retail</w:t>
      </w:r>
      <w:proofErr w:type="spellEnd"/>
      <w:r>
        <w:rPr>
          <w:rFonts w:ascii="Century Gothic" w:eastAsia="Century Gothic" w:hAnsi="Century Gothic" w:cs="Century Gothic"/>
          <w:b/>
          <w:bCs/>
          <w:i/>
          <w:iCs/>
          <w:sz w:val="22"/>
          <w:szCs w:val="22"/>
        </w:rPr>
        <w:t>/MMI</w:t>
      </w:r>
      <w:r>
        <w:rPr>
          <w:rFonts w:ascii="Century Gothic" w:eastAsia="Century Gothic" w:hAnsi="Century Gothic" w:cs="Century Gothic"/>
          <w:sz w:val="22"/>
          <w:szCs w:val="22"/>
        </w:rPr>
        <w:t xml:space="preserve"> han caído un 13 %, hasta los 1200 millones de AED, por el impacto del menor tráfico turístico en los Emiratos Árabes Unidos durante los seis primeros meses del ejercicio 2026-27.</w:t>
      </w:r>
    </w:p>
    <w:p w14:paraId="155989AE" w14:textId="77777777" w:rsidR="00B06616" w:rsidRDefault="00B06616">
      <w:pPr>
        <w:jc w:val="both"/>
      </w:pPr>
    </w:p>
    <w:p w14:paraId="27039115" w14:textId="77777777" w:rsidR="00B06616" w:rsidRDefault="00000000">
      <w:pPr>
        <w:spacing w:after="160"/>
        <w:jc w:val="both"/>
        <w:rPr>
          <w:sz w:val="22"/>
          <w:szCs w:val="22"/>
        </w:rPr>
      </w:pPr>
      <w:proofErr w:type="spellStart"/>
      <w:r>
        <w:rPr>
          <w:rFonts w:ascii="Century Gothic" w:eastAsia="Century Gothic" w:hAnsi="Century Gothic" w:cs="Century Gothic"/>
          <w:b/>
          <w:bCs/>
          <w:sz w:val="22"/>
          <w:szCs w:val="22"/>
        </w:rPr>
        <w:t>dnata</w:t>
      </w:r>
      <w:proofErr w:type="spellEnd"/>
    </w:p>
    <w:p w14:paraId="4EE1A74C"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lastRenderedPageBreak/>
        <w:t xml:space="preserve">Las divisiones de asistencia en tierra, </w:t>
      </w:r>
      <w:r>
        <w:rPr>
          <w:rFonts w:ascii="Century Gothic" w:eastAsia="Century Gothic" w:hAnsi="Century Gothic" w:cs="Century Gothic"/>
          <w:i/>
          <w:iCs/>
          <w:sz w:val="22"/>
          <w:szCs w:val="22"/>
        </w:rPr>
        <w:t>catering</w:t>
      </w:r>
      <w:r>
        <w:rPr>
          <w:rFonts w:ascii="Century Gothic" w:eastAsia="Century Gothic" w:hAnsi="Century Gothic" w:cs="Century Gothic"/>
          <w:sz w:val="22"/>
          <w:szCs w:val="22"/>
        </w:rPr>
        <w:t xml:space="preserve"> y </w:t>
      </w:r>
      <w:proofErr w:type="spellStart"/>
      <w:r>
        <w:rPr>
          <w:rFonts w:ascii="Century Gothic" w:eastAsia="Century Gothic" w:hAnsi="Century Gothic" w:cs="Century Gothic"/>
          <w:i/>
          <w:iCs/>
          <w:sz w:val="22"/>
          <w:szCs w:val="22"/>
        </w:rPr>
        <w:t>retail</w:t>
      </w:r>
      <w:proofErr w:type="spellEnd"/>
      <w:r>
        <w:rPr>
          <w:rFonts w:ascii="Century Gothic" w:eastAsia="Century Gothic" w:hAnsi="Century Gothic" w:cs="Century Gothic"/>
          <w:sz w:val="22"/>
          <w:szCs w:val="22"/>
        </w:rPr>
        <w:t xml:space="preserve"> y servicios de viajes de </w:t>
      </w:r>
      <w:proofErr w:type="spellStart"/>
      <w:r>
        <w:rPr>
          <w:rFonts w:ascii="Century Gothic" w:eastAsia="Century Gothic" w:hAnsi="Century Gothic" w:cs="Century Gothic"/>
          <w:sz w:val="22"/>
          <w:szCs w:val="22"/>
        </w:rPr>
        <w:t>dnata</w:t>
      </w:r>
      <w:proofErr w:type="spellEnd"/>
      <w:r>
        <w:rPr>
          <w:rFonts w:ascii="Century Gothic" w:eastAsia="Century Gothic" w:hAnsi="Century Gothic" w:cs="Century Gothic"/>
          <w:sz w:val="22"/>
          <w:szCs w:val="22"/>
        </w:rPr>
        <w:t xml:space="preserve"> se han adaptado con rapidez a los desafíos operativos y de negocio provocados por el conflicto regional, y sus negocios internacionales han ayudado a compensar el impacto de la caída del tráfico aéreo y de viajes en los Emiratos Árabes Unidos y en el conjunto de la región del Golfo.</w:t>
      </w:r>
    </w:p>
    <w:p w14:paraId="41DBF230" w14:textId="77777777" w:rsidR="00B06616" w:rsidRDefault="00B06616">
      <w:pPr>
        <w:jc w:val="both"/>
      </w:pPr>
    </w:p>
    <w:p w14:paraId="2DE704A3"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En el primer semestre del ejercicio 2026-27, </w:t>
      </w:r>
      <w:proofErr w:type="spellStart"/>
      <w:r>
        <w:rPr>
          <w:rFonts w:ascii="Century Gothic" w:eastAsia="Century Gothic" w:hAnsi="Century Gothic" w:cs="Century Gothic"/>
          <w:sz w:val="22"/>
          <w:szCs w:val="22"/>
        </w:rPr>
        <w:t>dnata</w:t>
      </w:r>
      <w:proofErr w:type="spellEnd"/>
      <w:r>
        <w:rPr>
          <w:rFonts w:ascii="Century Gothic" w:eastAsia="Century Gothic" w:hAnsi="Century Gothic" w:cs="Century Gothic"/>
          <w:sz w:val="22"/>
          <w:szCs w:val="22"/>
        </w:rPr>
        <w:t xml:space="preserve"> ha seguido ganando clientes gracias a sus servicios seguros y de alta calidad en todas sus operaciones globales, con la firma de acuerdos plurianuales, como una alianza de carga con Silk Way Group en Singapur y contratos de </w:t>
      </w:r>
      <w:r>
        <w:rPr>
          <w:rFonts w:ascii="Century Gothic" w:eastAsia="Century Gothic" w:hAnsi="Century Gothic" w:cs="Century Gothic"/>
          <w:i/>
          <w:iCs/>
          <w:sz w:val="22"/>
          <w:szCs w:val="22"/>
        </w:rPr>
        <w:t>catering</w:t>
      </w:r>
      <w:r>
        <w:rPr>
          <w:rFonts w:ascii="Century Gothic" w:eastAsia="Century Gothic" w:hAnsi="Century Gothic" w:cs="Century Gothic"/>
          <w:sz w:val="22"/>
          <w:szCs w:val="22"/>
        </w:rPr>
        <w:t xml:space="preserve"> a bordo con Cathay Pacific en varios aeropuertos de Reino Unido y Estados Unidos. Destaca también la licencia de asistencia en tierra por siete años obtenida por </w:t>
      </w:r>
      <w:proofErr w:type="spellStart"/>
      <w:r>
        <w:rPr>
          <w:rFonts w:ascii="Century Gothic" w:eastAsia="Century Gothic" w:hAnsi="Century Gothic" w:cs="Century Gothic"/>
          <w:sz w:val="22"/>
          <w:szCs w:val="22"/>
        </w:rPr>
        <w:t>dnata</w:t>
      </w:r>
      <w:proofErr w:type="spellEnd"/>
      <w:r>
        <w:rPr>
          <w:rFonts w:ascii="Century Gothic" w:eastAsia="Century Gothic" w:hAnsi="Century Gothic" w:cs="Century Gothic"/>
          <w:sz w:val="22"/>
          <w:szCs w:val="22"/>
        </w:rPr>
        <w:t xml:space="preserve"> </w:t>
      </w:r>
      <w:proofErr w:type="spellStart"/>
      <w:r>
        <w:rPr>
          <w:rFonts w:ascii="Century Gothic" w:eastAsia="Century Gothic" w:hAnsi="Century Gothic" w:cs="Century Gothic"/>
          <w:i/>
          <w:iCs/>
          <w:sz w:val="22"/>
          <w:szCs w:val="22"/>
        </w:rPr>
        <w:t>Airport</w:t>
      </w:r>
      <w:proofErr w:type="spellEnd"/>
      <w:r>
        <w:rPr>
          <w:rFonts w:ascii="Century Gothic" w:eastAsia="Century Gothic" w:hAnsi="Century Gothic" w:cs="Century Gothic"/>
          <w:i/>
          <w:iCs/>
          <w:sz w:val="22"/>
          <w:szCs w:val="22"/>
        </w:rPr>
        <w:t xml:space="preserve"> </w:t>
      </w:r>
      <w:proofErr w:type="spellStart"/>
      <w:r>
        <w:rPr>
          <w:rFonts w:ascii="Century Gothic" w:eastAsia="Century Gothic" w:hAnsi="Century Gothic" w:cs="Century Gothic"/>
          <w:i/>
          <w:iCs/>
          <w:sz w:val="22"/>
          <w:szCs w:val="22"/>
        </w:rPr>
        <w:t>Operations</w:t>
      </w:r>
      <w:proofErr w:type="spellEnd"/>
      <w:r>
        <w:rPr>
          <w:rFonts w:ascii="Century Gothic" w:eastAsia="Century Gothic" w:hAnsi="Century Gothic" w:cs="Century Gothic"/>
          <w:sz w:val="22"/>
          <w:szCs w:val="22"/>
        </w:rPr>
        <w:t xml:space="preserve"> en el aeropuerto de Ámsterdam Schiphol, que refuerza su posición en uno de los principales centros de operaciones aéreas de Europa.</w:t>
      </w:r>
    </w:p>
    <w:p w14:paraId="12A9BBF5" w14:textId="77777777" w:rsidR="00B06616" w:rsidRDefault="00B06616">
      <w:pPr>
        <w:jc w:val="both"/>
      </w:pPr>
    </w:p>
    <w:p w14:paraId="149C5835" w14:textId="77777777" w:rsidR="00B06616" w:rsidRDefault="00000000">
      <w:pPr>
        <w:jc w:val="both"/>
      </w:pPr>
      <w:proofErr w:type="spellStart"/>
      <w:r>
        <w:rPr>
          <w:rFonts w:ascii="Century Gothic" w:eastAsia="Century Gothic" w:hAnsi="Century Gothic" w:cs="Century Gothic"/>
          <w:sz w:val="22"/>
          <w:szCs w:val="22"/>
        </w:rPr>
        <w:t>dnata</w:t>
      </w:r>
      <w:proofErr w:type="spellEnd"/>
      <w:r>
        <w:rPr>
          <w:rFonts w:ascii="Century Gothic" w:eastAsia="Century Gothic" w:hAnsi="Century Gothic" w:cs="Century Gothic"/>
          <w:sz w:val="22"/>
          <w:szCs w:val="22"/>
        </w:rPr>
        <w:t xml:space="preserve"> ha continuado invirtiendo de forma estratégica para ampliar sus capacidades y mejorar su oferta a los clientes. En los seis primeros meses del año ha abierto un nuevo centro de mando integrado para dar soporte a sus crecientes operaciones de carga en Dubái, ha comprometido una inversión de 8 millones de AED para ampliar The Fort - </w:t>
      </w:r>
      <w:proofErr w:type="spellStart"/>
      <w:r>
        <w:rPr>
          <w:rFonts w:ascii="Century Gothic" w:eastAsia="Century Gothic" w:hAnsi="Century Gothic" w:cs="Century Gothic"/>
          <w:sz w:val="22"/>
          <w:szCs w:val="22"/>
        </w:rPr>
        <w:t>Lisaili</w:t>
      </w:r>
      <w:proofErr w:type="spellEnd"/>
      <w:r>
        <w:rPr>
          <w:rFonts w:ascii="Century Gothic" w:eastAsia="Century Gothic" w:hAnsi="Century Gothic" w:cs="Century Gothic"/>
          <w:sz w:val="22"/>
          <w:szCs w:val="22"/>
        </w:rPr>
        <w:t xml:space="preserve">, el destino de turismo desértico de </w:t>
      </w:r>
      <w:r>
        <w:rPr>
          <w:rFonts w:ascii="Century Gothic" w:eastAsia="Century Gothic" w:hAnsi="Century Gothic" w:cs="Century Gothic"/>
          <w:i/>
          <w:iCs/>
          <w:sz w:val="22"/>
          <w:szCs w:val="22"/>
        </w:rPr>
        <w:t xml:space="preserve">Arabian </w:t>
      </w:r>
      <w:proofErr w:type="spellStart"/>
      <w:r>
        <w:rPr>
          <w:rFonts w:ascii="Century Gothic" w:eastAsia="Century Gothic" w:hAnsi="Century Gothic" w:cs="Century Gothic"/>
          <w:i/>
          <w:iCs/>
          <w:sz w:val="22"/>
          <w:szCs w:val="22"/>
        </w:rPr>
        <w:t>Adventures</w:t>
      </w:r>
      <w:proofErr w:type="spellEnd"/>
      <w:r>
        <w:rPr>
          <w:rFonts w:ascii="Century Gothic" w:eastAsia="Century Gothic" w:hAnsi="Century Gothic" w:cs="Century Gothic"/>
          <w:sz w:val="22"/>
          <w:szCs w:val="22"/>
        </w:rPr>
        <w:t xml:space="preserve"> en Dubái, y ha seguido invirtiendo en tecnología y equipamiento avanzados en todas sus operaciones, con sistemas automatizados de aproximación de aeronaves en Dubái, un simulador de </w:t>
      </w:r>
      <w:r>
        <w:rPr>
          <w:rFonts w:ascii="Century Gothic" w:eastAsia="Century Gothic" w:hAnsi="Century Gothic" w:cs="Century Gothic"/>
          <w:i/>
          <w:iCs/>
          <w:sz w:val="22"/>
          <w:szCs w:val="22"/>
        </w:rPr>
        <w:t>catering</w:t>
      </w:r>
      <w:r>
        <w:rPr>
          <w:rFonts w:ascii="Century Gothic" w:eastAsia="Century Gothic" w:hAnsi="Century Gothic" w:cs="Century Gothic"/>
          <w:sz w:val="22"/>
          <w:szCs w:val="22"/>
        </w:rPr>
        <w:t xml:space="preserve"> de aviación en Dublín y pruebas de tractores autónomos en Europa y Asia.</w:t>
      </w:r>
    </w:p>
    <w:p w14:paraId="4CF0B78E" w14:textId="77777777" w:rsidR="00B06616" w:rsidRDefault="00B06616">
      <w:pPr>
        <w:jc w:val="both"/>
        <w:rPr>
          <w:rFonts w:ascii="Century Gothic" w:eastAsia="Century Gothic" w:hAnsi="Century Gothic" w:cs="Century Gothic"/>
          <w:sz w:val="22"/>
          <w:szCs w:val="22"/>
        </w:rPr>
      </w:pPr>
    </w:p>
    <w:p w14:paraId="49BE954E"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La compañía ha anunciado además una inversión de 32 millones de dólares australianos para construir una nueva instalación de carga en el Western </w:t>
      </w:r>
      <w:proofErr w:type="spellStart"/>
      <w:r>
        <w:rPr>
          <w:rFonts w:ascii="Century Gothic" w:eastAsia="Century Gothic" w:hAnsi="Century Gothic" w:cs="Century Gothic"/>
          <w:sz w:val="22"/>
          <w:szCs w:val="22"/>
        </w:rPr>
        <w:t>Sydney</w:t>
      </w:r>
      <w:proofErr w:type="spellEnd"/>
      <w:r>
        <w:rPr>
          <w:rFonts w:ascii="Century Gothic" w:eastAsia="Century Gothic" w:hAnsi="Century Gothic" w:cs="Century Gothic"/>
          <w:sz w:val="22"/>
          <w:szCs w:val="22"/>
        </w:rPr>
        <w:t xml:space="preserve"> International </w:t>
      </w:r>
      <w:proofErr w:type="spellStart"/>
      <w:r>
        <w:rPr>
          <w:rFonts w:ascii="Century Gothic" w:eastAsia="Century Gothic" w:hAnsi="Century Gothic" w:cs="Century Gothic"/>
          <w:sz w:val="22"/>
          <w:szCs w:val="22"/>
        </w:rPr>
        <w:t>Airport</w:t>
      </w:r>
      <w:proofErr w:type="spellEnd"/>
      <w:r>
        <w:rPr>
          <w:rFonts w:ascii="Century Gothic" w:eastAsia="Century Gothic" w:hAnsi="Century Gothic" w:cs="Century Gothic"/>
          <w:sz w:val="22"/>
          <w:szCs w:val="22"/>
        </w:rPr>
        <w:t xml:space="preserve"> (WSI), mientras que las obras de su nueva planta de </w:t>
      </w:r>
      <w:r>
        <w:rPr>
          <w:rFonts w:ascii="Century Gothic" w:eastAsia="Century Gothic" w:hAnsi="Century Gothic" w:cs="Century Gothic"/>
          <w:i/>
          <w:iCs/>
          <w:sz w:val="22"/>
          <w:szCs w:val="22"/>
        </w:rPr>
        <w:t>catering</w:t>
      </w:r>
      <w:r>
        <w:rPr>
          <w:rFonts w:ascii="Century Gothic" w:eastAsia="Century Gothic" w:hAnsi="Century Gothic" w:cs="Century Gothic"/>
          <w:sz w:val="22"/>
          <w:szCs w:val="22"/>
        </w:rPr>
        <w:t xml:space="preserve"> en el WSI avanzan según lo previsto para su apertura en 2027. </w:t>
      </w:r>
      <w:proofErr w:type="spellStart"/>
      <w:r>
        <w:rPr>
          <w:rFonts w:ascii="Century Gothic" w:eastAsia="Century Gothic" w:hAnsi="Century Gothic" w:cs="Century Gothic"/>
          <w:sz w:val="22"/>
          <w:szCs w:val="22"/>
        </w:rPr>
        <w:t>dnata</w:t>
      </w:r>
      <w:proofErr w:type="spellEnd"/>
      <w:r>
        <w:rPr>
          <w:rFonts w:ascii="Century Gothic" w:eastAsia="Century Gothic" w:hAnsi="Century Gothic" w:cs="Century Gothic"/>
          <w:sz w:val="22"/>
          <w:szCs w:val="22"/>
        </w:rPr>
        <w:t xml:space="preserve"> también ha seguido desplegando su estrategia global de carga y logística con inversiones específicas en toda su red: ha puesto en servicio su nueva instalación logística de 100 millones de AED (27 millones de USD) en </w:t>
      </w:r>
      <w:proofErr w:type="spellStart"/>
      <w:r>
        <w:rPr>
          <w:rFonts w:ascii="Century Gothic" w:eastAsia="Century Gothic" w:hAnsi="Century Gothic" w:cs="Century Gothic"/>
          <w:sz w:val="22"/>
          <w:szCs w:val="22"/>
        </w:rPr>
        <w:t>Dubai</w:t>
      </w:r>
      <w:proofErr w:type="spellEnd"/>
      <w:r>
        <w:rPr>
          <w:rFonts w:ascii="Century Gothic" w:eastAsia="Century Gothic" w:hAnsi="Century Gothic" w:cs="Century Gothic"/>
          <w:sz w:val="22"/>
          <w:szCs w:val="22"/>
        </w:rPr>
        <w:t xml:space="preserve"> South y ha avanzado en proyectos estratégicos, entre ellos una inversión prevista de 37 millones de AED en </w:t>
      </w:r>
      <w:proofErr w:type="spellStart"/>
      <w:r>
        <w:rPr>
          <w:rFonts w:ascii="Century Gothic" w:eastAsia="Century Gothic" w:hAnsi="Century Gothic" w:cs="Century Gothic"/>
          <w:sz w:val="22"/>
          <w:szCs w:val="22"/>
        </w:rPr>
        <w:t>Alat</w:t>
      </w:r>
      <w:proofErr w:type="spellEnd"/>
      <w:r>
        <w:rPr>
          <w:rFonts w:ascii="Century Gothic" w:eastAsia="Century Gothic" w:hAnsi="Century Gothic" w:cs="Century Gothic"/>
          <w:sz w:val="22"/>
          <w:szCs w:val="22"/>
        </w:rPr>
        <w:t xml:space="preserve"> (Azerbaiyán), junto a operaciones de carga nuevas y ampliadas en el aeropuerto de East </w:t>
      </w:r>
      <w:proofErr w:type="spellStart"/>
      <w:r>
        <w:rPr>
          <w:rFonts w:ascii="Century Gothic" w:eastAsia="Century Gothic" w:hAnsi="Century Gothic" w:cs="Century Gothic"/>
          <w:sz w:val="22"/>
          <w:szCs w:val="22"/>
        </w:rPr>
        <w:t>Midlands</w:t>
      </w:r>
      <w:proofErr w:type="spellEnd"/>
      <w:r>
        <w:rPr>
          <w:rFonts w:ascii="Century Gothic" w:eastAsia="Century Gothic" w:hAnsi="Century Gothic" w:cs="Century Gothic"/>
          <w:sz w:val="22"/>
          <w:szCs w:val="22"/>
        </w:rPr>
        <w:t xml:space="preserve"> y en el aeropuerto de Zúrich.</w:t>
      </w:r>
    </w:p>
    <w:p w14:paraId="2F72BF8F" w14:textId="77777777" w:rsidR="00B06616" w:rsidRDefault="00B06616">
      <w:pPr>
        <w:jc w:val="both"/>
      </w:pPr>
    </w:p>
    <w:p w14:paraId="602B8BD7"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En su división de viajes, </w:t>
      </w:r>
      <w:proofErr w:type="spellStart"/>
      <w:r>
        <w:rPr>
          <w:rFonts w:ascii="Century Gothic" w:eastAsia="Century Gothic" w:hAnsi="Century Gothic" w:cs="Century Gothic"/>
          <w:sz w:val="22"/>
          <w:szCs w:val="22"/>
        </w:rPr>
        <w:t>dnata</w:t>
      </w:r>
      <w:proofErr w:type="spellEnd"/>
      <w:r>
        <w:rPr>
          <w:rFonts w:ascii="Century Gothic" w:eastAsia="Century Gothic" w:hAnsi="Century Gothic" w:cs="Century Gothic"/>
          <w:sz w:val="22"/>
          <w:szCs w:val="22"/>
        </w:rPr>
        <w:t xml:space="preserve"> ha integrado sus negocios </w:t>
      </w:r>
      <w:r>
        <w:rPr>
          <w:rFonts w:ascii="Century Gothic" w:eastAsia="Century Gothic" w:hAnsi="Century Gothic" w:cs="Century Gothic"/>
          <w:i/>
          <w:iCs/>
          <w:sz w:val="22"/>
          <w:szCs w:val="22"/>
        </w:rPr>
        <w:t>Imagine Cruising</w:t>
      </w:r>
      <w:r>
        <w:rPr>
          <w:rFonts w:ascii="Century Gothic" w:eastAsia="Century Gothic" w:hAnsi="Century Gothic" w:cs="Century Gothic"/>
          <w:sz w:val="22"/>
          <w:szCs w:val="22"/>
        </w:rPr>
        <w:t xml:space="preserve"> y </w:t>
      </w:r>
      <w:proofErr w:type="spellStart"/>
      <w:r>
        <w:rPr>
          <w:rFonts w:ascii="Century Gothic" w:eastAsia="Century Gothic" w:hAnsi="Century Gothic" w:cs="Century Gothic"/>
          <w:i/>
          <w:iCs/>
          <w:sz w:val="22"/>
          <w:szCs w:val="22"/>
        </w:rPr>
        <w:t>Travelbag</w:t>
      </w:r>
      <w:proofErr w:type="spellEnd"/>
      <w:r>
        <w:rPr>
          <w:rFonts w:ascii="Century Gothic" w:eastAsia="Century Gothic" w:hAnsi="Century Gothic" w:cs="Century Gothic"/>
          <w:sz w:val="22"/>
          <w:szCs w:val="22"/>
        </w:rPr>
        <w:t>, con lo que une dos carteras complementarias para ganar escala, compartir conocimiento e impulsar el crecimiento internacional.</w:t>
      </w:r>
    </w:p>
    <w:p w14:paraId="01A0AE78" w14:textId="77777777" w:rsidR="00B06616" w:rsidRDefault="00B06616">
      <w:pPr>
        <w:jc w:val="both"/>
      </w:pPr>
    </w:p>
    <w:p w14:paraId="0C51F2A3"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Los ingresos de </w:t>
      </w:r>
      <w:proofErr w:type="spellStart"/>
      <w:r>
        <w:rPr>
          <w:rFonts w:ascii="Century Gothic" w:eastAsia="Century Gothic" w:hAnsi="Century Gothic" w:cs="Century Gothic"/>
          <w:b/>
          <w:bCs/>
          <w:sz w:val="22"/>
          <w:szCs w:val="22"/>
        </w:rPr>
        <w:t>dnata</w:t>
      </w:r>
      <w:proofErr w:type="spellEnd"/>
      <w:r>
        <w:rPr>
          <w:rFonts w:ascii="Century Gothic" w:eastAsia="Century Gothic" w:hAnsi="Century Gothic" w:cs="Century Gothic"/>
          <w:b/>
          <w:bCs/>
          <w:sz w:val="22"/>
          <w:szCs w:val="22"/>
        </w:rPr>
        <w:t>,</w:t>
      </w:r>
      <w:r>
        <w:rPr>
          <w:rFonts w:ascii="Century Gothic" w:eastAsia="Century Gothic" w:hAnsi="Century Gothic" w:cs="Century Gothic"/>
          <w:sz w:val="22"/>
          <w:szCs w:val="22"/>
        </w:rPr>
        <w:t xml:space="preserve"> incluidos otros ingresos de explotación, han alcanzado los 11.000 millones de AED (3000 millones de USD), un 7 % menos que los 11.700 millones de AED (3200 millones de USD) generados en el mismo periodo del año anterior.</w:t>
      </w:r>
    </w:p>
    <w:p w14:paraId="3ED5FDCE" w14:textId="77777777" w:rsidR="00B06616" w:rsidRDefault="00B06616">
      <w:pPr>
        <w:jc w:val="both"/>
      </w:pPr>
    </w:p>
    <w:p w14:paraId="32769BB8"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Los beneficios antes de impuestos de </w:t>
      </w:r>
      <w:proofErr w:type="spellStart"/>
      <w:r>
        <w:rPr>
          <w:rFonts w:ascii="Century Gothic" w:eastAsia="Century Gothic" w:hAnsi="Century Gothic" w:cs="Century Gothic"/>
          <w:b/>
          <w:bCs/>
          <w:sz w:val="22"/>
          <w:szCs w:val="22"/>
        </w:rPr>
        <w:t>dnata</w:t>
      </w:r>
      <w:proofErr w:type="spellEnd"/>
      <w:r>
        <w:rPr>
          <w:rFonts w:ascii="Century Gothic" w:eastAsia="Century Gothic" w:hAnsi="Century Gothic" w:cs="Century Gothic"/>
          <w:sz w:val="22"/>
          <w:szCs w:val="22"/>
        </w:rPr>
        <w:t xml:space="preserve"> han sido de 410 millones de AED (112 millones de USD), un 51 % menos que en el mismo periodo del año anterior. Las </w:t>
      </w:r>
      <w:r>
        <w:rPr>
          <w:rFonts w:ascii="Century Gothic" w:eastAsia="Century Gothic" w:hAnsi="Century Gothic" w:cs="Century Gothic"/>
          <w:b/>
          <w:bCs/>
          <w:sz w:val="22"/>
          <w:szCs w:val="22"/>
        </w:rPr>
        <w:t>ganancias después de impuestos</w:t>
      </w:r>
      <w:r>
        <w:rPr>
          <w:rFonts w:ascii="Century Gothic" w:eastAsia="Century Gothic" w:hAnsi="Century Gothic" w:cs="Century Gothic"/>
          <w:sz w:val="22"/>
          <w:szCs w:val="22"/>
        </w:rPr>
        <w:t xml:space="preserve"> de </w:t>
      </w:r>
      <w:proofErr w:type="spellStart"/>
      <w:r>
        <w:rPr>
          <w:rFonts w:ascii="Century Gothic" w:eastAsia="Century Gothic" w:hAnsi="Century Gothic" w:cs="Century Gothic"/>
          <w:sz w:val="22"/>
          <w:szCs w:val="22"/>
        </w:rPr>
        <w:t>dnata</w:t>
      </w:r>
      <w:proofErr w:type="spellEnd"/>
      <w:r>
        <w:rPr>
          <w:rFonts w:ascii="Century Gothic" w:eastAsia="Century Gothic" w:hAnsi="Century Gothic" w:cs="Century Gothic"/>
          <w:sz w:val="22"/>
          <w:szCs w:val="22"/>
        </w:rPr>
        <w:t xml:space="preserve"> se sitúan en 309 millones de AED (84 millones de USD), un 56 % menos que el año anterior.</w:t>
      </w:r>
    </w:p>
    <w:p w14:paraId="0B40B5D8" w14:textId="77777777" w:rsidR="00B06616" w:rsidRDefault="00B06616">
      <w:pPr>
        <w:jc w:val="both"/>
      </w:pPr>
    </w:p>
    <w:p w14:paraId="4C8CC455"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sz w:val="22"/>
          <w:szCs w:val="22"/>
        </w:rPr>
        <w:lastRenderedPageBreak/>
        <w:t xml:space="preserve">Como muestra de su desempeño operativo, el </w:t>
      </w:r>
      <w:r>
        <w:rPr>
          <w:rFonts w:ascii="Century Gothic" w:eastAsia="Century Gothic" w:hAnsi="Century Gothic" w:cs="Century Gothic"/>
          <w:b/>
          <w:bCs/>
          <w:sz w:val="22"/>
          <w:szCs w:val="22"/>
        </w:rPr>
        <w:t xml:space="preserve">EBITDA </w:t>
      </w:r>
      <w:r>
        <w:rPr>
          <w:rFonts w:ascii="Century Gothic" w:eastAsia="Century Gothic" w:hAnsi="Century Gothic" w:cs="Century Gothic"/>
          <w:sz w:val="22"/>
          <w:szCs w:val="22"/>
        </w:rPr>
        <w:t xml:space="preserve">de </w:t>
      </w:r>
      <w:proofErr w:type="spellStart"/>
      <w:r>
        <w:rPr>
          <w:rFonts w:ascii="Century Gothic" w:eastAsia="Century Gothic" w:hAnsi="Century Gothic" w:cs="Century Gothic"/>
          <w:sz w:val="22"/>
          <w:szCs w:val="22"/>
        </w:rPr>
        <w:t>dnata</w:t>
      </w:r>
      <w:proofErr w:type="spellEnd"/>
      <w:r>
        <w:rPr>
          <w:rFonts w:ascii="Century Gothic" w:eastAsia="Century Gothic" w:hAnsi="Century Gothic" w:cs="Century Gothic"/>
          <w:sz w:val="22"/>
          <w:szCs w:val="22"/>
        </w:rPr>
        <w:t xml:space="preserve"> ha sido de 939 millones de AED (256 millones de USD), un 31 % menos que los 1400 millones de AED (372 millones de USD) del año anterior.</w:t>
      </w:r>
    </w:p>
    <w:p w14:paraId="4F54D8CE" w14:textId="77777777" w:rsidR="00B06616" w:rsidRDefault="00B06616">
      <w:pPr>
        <w:jc w:val="both"/>
      </w:pPr>
    </w:p>
    <w:p w14:paraId="050E2E35"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La asistencia en tierra</w:t>
      </w:r>
      <w:r>
        <w:rPr>
          <w:rFonts w:ascii="Century Gothic" w:eastAsia="Century Gothic" w:hAnsi="Century Gothic" w:cs="Century Gothic"/>
          <w:sz w:val="22"/>
          <w:szCs w:val="22"/>
        </w:rPr>
        <w:t xml:space="preserve"> sigue siendo la mayor fuente de ingresos de </w:t>
      </w:r>
      <w:proofErr w:type="spellStart"/>
      <w:r>
        <w:rPr>
          <w:rFonts w:ascii="Century Gothic" w:eastAsia="Century Gothic" w:hAnsi="Century Gothic" w:cs="Century Gothic"/>
          <w:sz w:val="22"/>
          <w:szCs w:val="22"/>
        </w:rPr>
        <w:t>dnata</w:t>
      </w:r>
      <w:proofErr w:type="spellEnd"/>
      <w:r>
        <w:rPr>
          <w:rFonts w:ascii="Century Gothic" w:eastAsia="Century Gothic" w:hAnsi="Century Gothic" w:cs="Century Gothic"/>
          <w:sz w:val="22"/>
          <w:szCs w:val="22"/>
        </w:rPr>
        <w:t xml:space="preserve">, con 5400 millones de AED (1500 millones de USD), un 3 % menos que en el mismo periodo del año anterior, ya que el crecimiento de su negocio global ha compensado la reducción de la operación de las aerolíneas clientes en su </w:t>
      </w:r>
      <w:proofErr w:type="spellStart"/>
      <w:proofErr w:type="gramStart"/>
      <w:r>
        <w:rPr>
          <w:rFonts w:ascii="Century Gothic" w:eastAsia="Century Gothic" w:hAnsi="Century Gothic" w:cs="Century Gothic"/>
          <w:i/>
          <w:iCs/>
          <w:sz w:val="22"/>
          <w:szCs w:val="22"/>
        </w:rPr>
        <w:t>hub</w:t>
      </w:r>
      <w:proofErr w:type="spellEnd"/>
      <w:proofErr w:type="gramEnd"/>
      <w:r>
        <w:rPr>
          <w:rFonts w:ascii="Century Gothic" w:eastAsia="Century Gothic" w:hAnsi="Century Gothic" w:cs="Century Gothic"/>
          <w:sz w:val="22"/>
          <w:szCs w:val="22"/>
        </w:rPr>
        <w:t xml:space="preserve"> de los Emiratos Árabes Unidos durante este periodo. En el conjunto de sus operaciones, el número de operaciones de llegadas y salidas gestionadas ha descendido un 8 %, hasta las 414.012, y la carga manipulada ha sido de 1,49 millones de toneladas, un 6 % menos.</w:t>
      </w:r>
    </w:p>
    <w:p w14:paraId="0C0F52CA" w14:textId="77777777" w:rsidR="00B06616" w:rsidRDefault="00B06616">
      <w:pPr>
        <w:jc w:val="both"/>
      </w:pPr>
    </w:p>
    <w:p w14:paraId="42E7D750" w14:textId="77777777" w:rsidR="00B06616" w:rsidRDefault="00000000">
      <w:pPr>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Las operaciones de </w:t>
      </w:r>
      <w:r>
        <w:rPr>
          <w:rFonts w:ascii="Century Gothic" w:eastAsia="Century Gothic" w:hAnsi="Century Gothic" w:cs="Century Gothic"/>
          <w:b/>
          <w:bCs/>
          <w:i/>
          <w:iCs/>
          <w:sz w:val="22"/>
          <w:szCs w:val="22"/>
        </w:rPr>
        <w:t>catering</w:t>
      </w:r>
      <w:r>
        <w:rPr>
          <w:rFonts w:ascii="Century Gothic" w:eastAsia="Century Gothic" w:hAnsi="Century Gothic" w:cs="Century Gothic"/>
          <w:b/>
          <w:bCs/>
          <w:sz w:val="22"/>
          <w:szCs w:val="22"/>
        </w:rPr>
        <w:t xml:space="preserve"> a bordo y </w:t>
      </w:r>
      <w:proofErr w:type="spellStart"/>
      <w:r>
        <w:rPr>
          <w:rFonts w:ascii="Century Gothic" w:eastAsia="Century Gothic" w:hAnsi="Century Gothic" w:cs="Century Gothic"/>
          <w:b/>
          <w:bCs/>
          <w:i/>
          <w:iCs/>
          <w:sz w:val="22"/>
          <w:szCs w:val="22"/>
        </w:rPr>
        <w:t>retail</w:t>
      </w:r>
      <w:proofErr w:type="spellEnd"/>
      <w:r>
        <w:rPr>
          <w:rFonts w:ascii="Century Gothic" w:eastAsia="Century Gothic" w:hAnsi="Century Gothic" w:cs="Century Gothic"/>
          <w:sz w:val="22"/>
          <w:szCs w:val="22"/>
        </w:rPr>
        <w:t xml:space="preserve"> han aportado 4200 millones de AED (1100 millones de USD) a los ingresos, un 1 % más, impulsadas por el crecimiento del negocio de venta a bordo, especialmente con </w:t>
      </w:r>
      <w:proofErr w:type="spellStart"/>
      <w:r>
        <w:rPr>
          <w:rFonts w:ascii="Century Gothic" w:eastAsia="Century Gothic" w:hAnsi="Century Gothic" w:cs="Century Gothic"/>
          <w:sz w:val="22"/>
          <w:szCs w:val="22"/>
        </w:rPr>
        <w:t>EasyJet</w:t>
      </w:r>
      <w:proofErr w:type="spellEnd"/>
      <w:r>
        <w:rPr>
          <w:rFonts w:ascii="Century Gothic" w:eastAsia="Century Gothic" w:hAnsi="Century Gothic" w:cs="Century Gothic"/>
          <w:sz w:val="22"/>
          <w:szCs w:val="22"/>
        </w:rPr>
        <w:t xml:space="preserve"> y </w:t>
      </w:r>
      <w:proofErr w:type="spellStart"/>
      <w:r>
        <w:rPr>
          <w:rFonts w:ascii="Century Gothic" w:eastAsia="Century Gothic" w:hAnsi="Century Gothic" w:cs="Century Gothic"/>
          <w:sz w:val="22"/>
          <w:szCs w:val="22"/>
        </w:rPr>
        <w:t>Aer</w:t>
      </w:r>
      <w:proofErr w:type="spellEnd"/>
      <w:r>
        <w:rPr>
          <w:rFonts w:ascii="Century Gothic" w:eastAsia="Century Gothic" w:hAnsi="Century Gothic" w:cs="Century Gothic"/>
          <w:sz w:val="22"/>
          <w:szCs w:val="22"/>
        </w:rPr>
        <w:t xml:space="preserve"> </w:t>
      </w:r>
      <w:proofErr w:type="spellStart"/>
      <w:r>
        <w:rPr>
          <w:rFonts w:ascii="Century Gothic" w:eastAsia="Century Gothic" w:hAnsi="Century Gothic" w:cs="Century Gothic"/>
          <w:sz w:val="22"/>
          <w:szCs w:val="22"/>
        </w:rPr>
        <w:t>Lingus</w:t>
      </w:r>
      <w:proofErr w:type="spellEnd"/>
      <w:r>
        <w:rPr>
          <w:rFonts w:ascii="Century Gothic" w:eastAsia="Century Gothic" w:hAnsi="Century Gothic" w:cs="Century Gothic"/>
          <w:sz w:val="22"/>
          <w:szCs w:val="22"/>
        </w:rPr>
        <w:t>. El número total de comidas embarcadas ha sido de 54 millones, un 10 % menos que el año anterior, debido sobre todo a la pérdida de contratos relevantes en sus operaciones de Reino Unido.</w:t>
      </w:r>
    </w:p>
    <w:p w14:paraId="533C0049" w14:textId="77777777" w:rsidR="00B06616" w:rsidRDefault="00B06616">
      <w:pPr>
        <w:jc w:val="both"/>
      </w:pPr>
    </w:p>
    <w:p w14:paraId="79F6940A" w14:textId="4DEA92C3" w:rsidR="00B06616" w:rsidRPr="009722E2" w:rsidRDefault="00000000" w:rsidP="009722E2">
      <w:pPr>
        <w:spacing w:after="360"/>
        <w:jc w:val="both"/>
      </w:pPr>
      <w:r>
        <w:rPr>
          <w:rFonts w:ascii="Century Gothic" w:eastAsia="Century Gothic" w:hAnsi="Century Gothic" w:cs="Century Gothic"/>
          <w:b/>
          <w:bCs/>
          <w:sz w:val="22"/>
          <w:szCs w:val="22"/>
        </w:rPr>
        <w:t>La división de viajes</w:t>
      </w:r>
      <w:r>
        <w:rPr>
          <w:rFonts w:ascii="Century Gothic" w:eastAsia="Century Gothic" w:hAnsi="Century Gothic" w:cs="Century Gothic"/>
          <w:sz w:val="22"/>
          <w:szCs w:val="22"/>
        </w:rPr>
        <w:t xml:space="preserve"> ha aportado 1400 millones de AED (373 millones de USD) a los ingresos, un 31 % menos que los 2000 millones de AED (538 millones de USD) del mismo periodo del año anterior, principalmente por la venta de </w:t>
      </w:r>
      <w:r>
        <w:rPr>
          <w:rFonts w:ascii="Century Gothic" w:eastAsia="Century Gothic" w:hAnsi="Century Gothic" w:cs="Century Gothic"/>
          <w:i/>
          <w:iCs/>
          <w:sz w:val="22"/>
          <w:szCs w:val="22"/>
        </w:rPr>
        <w:t xml:space="preserve">Travel </w:t>
      </w:r>
      <w:proofErr w:type="spellStart"/>
      <w:r>
        <w:rPr>
          <w:rFonts w:ascii="Century Gothic" w:eastAsia="Century Gothic" w:hAnsi="Century Gothic" w:cs="Century Gothic"/>
          <w:i/>
          <w:iCs/>
          <w:sz w:val="22"/>
          <w:szCs w:val="22"/>
        </w:rPr>
        <w:t>Republic</w:t>
      </w:r>
      <w:proofErr w:type="spellEnd"/>
      <w:r>
        <w:rPr>
          <w:rFonts w:ascii="Century Gothic" w:eastAsia="Century Gothic" w:hAnsi="Century Gothic" w:cs="Century Gothic"/>
          <w:sz w:val="22"/>
          <w:szCs w:val="22"/>
        </w:rPr>
        <w:t xml:space="preserve"> y </w:t>
      </w:r>
      <w:proofErr w:type="spellStart"/>
      <w:r>
        <w:rPr>
          <w:rFonts w:ascii="Century Gothic" w:eastAsia="Century Gothic" w:hAnsi="Century Gothic" w:cs="Century Gothic"/>
          <w:i/>
          <w:iCs/>
          <w:sz w:val="22"/>
          <w:szCs w:val="22"/>
        </w:rPr>
        <w:t>Netflights</w:t>
      </w:r>
      <w:proofErr w:type="spellEnd"/>
      <w:r>
        <w:rPr>
          <w:rFonts w:ascii="Century Gothic" w:eastAsia="Century Gothic" w:hAnsi="Century Gothic" w:cs="Century Gothic"/>
          <w:sz w:val="22"/>
          <w:szCs w:val="22"/>
        </w:rPr>
        <w:t xml:space="preserve"> en Reino Unido, que dejaron de aceptar nuevas reservas en noviembre de 2025. La división de viajes ha registrado un valor total de las transacciones (TTV) subyacente de 3800 millones de AED (1000 millones de USD), un 22 % menos que los 5000 millones de AED (1400 millones de USD) del mismo periodo del año anterior.</w:t>
      </w:r>
    </w:p>
    <w:sectPr w:rsidR="00B06616" w:rsidRPr="009722E2">
      <w:headerReference w:type="default" r:id="rId8"/>
      <w:pgSz w:w="11900" w:h="16840"/>
      <w:pgMar w:top="1417" w:right="1268" w:bottom="734" w:left="1276"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5B1A06" w14:textId="77777777" w:rsidR="00A125CE" w:rsidRDefault="00A125CE">
      <w:r>
        <w:separator/>
      </w:r>
    </w:p>
  </w:endnote>
  <w:endnote w:type="continuationSeparator" w:id="0">
    <w:p w14:paraId="60B24888" w14:textId="77777777" w:rsidR="00A125CE" w:rsidRDefault="00A12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embedRegular r:id="rId1" w:fontKey="{475B64A6-4E44-3A4E-A772-EF8768B151B0}"/>
  </w:font>
  <w:font w:name="Times New Roman">
    <w:panose1 w:val="02020603050405020304"/>
    <w:charset w:val="01"/>
    <w:family w:val="roman"/>
    <w:pitch w:val="variable"/>
    <w:sig w:usb0="E0002EFF" w:usb1="C000785B" w:usb2="00000009" w:usb3="00000000" w:csb0="000001FF" w:csb1="00000000"/>
    <w:embedRegular r:id="rId2" w:fontKey="{46270B17-D159-3B47-9ABB-AB2877102CE7}"/>
    <w:embedBold r:id="rId3" w:fontKey="{A9BED4F4-0C78-1D4E-92D1-86FA436F7C93}"/>
    <w:embedItalic r:id="rId4" w:fontKey="{A25043DB-DB8D-F04A-B67F-615576090C46}"/>
  </w:font>
  <w:font w:name="Georgia">
    <w:panose1 w:val="02040502050405020303"/>
    <w:charset w:val="00"/>
    <w:family w:val="roman"/>
    <w:pitch w:val="variable"/>
    <w:sig w:usb0="00000287" w:usb1="00000000" w:usb2="00000000" w:usb3="00000000" w:csb0="0000009F" w:csb1="00000000"/>
    <w:embedItalic r:id="rId5" w:fontKey="{7912DF81-D611-4B49-84DD-B84E7D7216A5}"/>
  </w:font>
  <w:font w:name="Calibri">
    <w:panose1 w:val="020F0502020204030204"/>
    <w:charset w:val="00"/>
    <w:family w:val="swiss"/>
    <w:pitch w:val="variable"/>
    <w:sig w:usb0="E0002AFF" w:usb1="C000247B" w:usb2="00000009" w:usb3="00000000" w:csb0="000001FF" w:csb1="00000000"/>
    <w:embedRegular r:id="rId6" w:fontKey="{2326CFA0-6212-9948-A753-9435760163E6}"/>
  </w:font>
  <w:font w:name="Cambria">
    <w:panose1 w:val="02040503050406030204"/>
    <w:charset w:val="00"/>
    <w:family w:val="roman"/>
    <w:pitch w:val="variable"/>
    <w:sig w:usb0="E00002FF" w:usb1="400004FF" w:usb2="00000000" w:usb3="00000000" w:csb0="0000019F" w:csb1="00000000"/>
    <w:embedRegular r:id="rId7" w:fontKey="{19B6F1D9-63FB-0145-B70A-1D7F5FE04091}"/>
  </w:font>
  <w:font w:name="Century Gothic">
    <w:panose1 w:val="020B0502020202020204"/>
    <w:charset w:val="00"/>
    <w:family w:val="swiss"/>
    <w:pitch w:val="variable"/>
    <w:sig w:usb0="00000287" w:usb1="00000000" w:usb2="00000000" w:usb3="00000000" w:csb0="0000009F" w:csb1="00000000"/>
    <w:embedRegular r:id="rId8" w:fontKey="{6DF1BEBA-CDF0-F844-9DBF-87DAED08777E}"/>
    <w:embedBold r:id="rId9" w:fontKey="{3759F90A-FE9F-F44A-9CBD-31425B86FE24}"/>
    <w:embedItalic r:id="rId10" w:fontKey="{A2EAF1EA-3391-1341-AC72-27BC22B91424}"/>
    <w:embedBoldItalic r:id="rId11" w:fontKey="{2C65C290-B325-9643-B781-9DB1CECA07C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406E35" w14:textId="77777777" w:rsidR="00A125CE" w:rsidRDefault="00A125CE">
      <w:r>
        <w:separator/>
      </w:r>
    </w:p>
  </w:footnote>
  <w:footnote w:type="continuationSeparator" w:id="0">
    <w:p w14:paraId="54121D85" w14:textId="77777777" w:rsidR="00A125CE" w:rsidRDefault="00A12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69BDF" w14:textId="77777777" w:rsidR="00B06616" w:rsidRDefault="00000000">
    <w:pPr>
      <w:pBdr>
        <w:top w:val="nil"/>
        <w:left w:val="nil"/>
        <w:bottom w:val="nil"/>
        <w:right w:val="nil"/>
        <w:between w:val="nil"/>
      </w:pBdr>
      <w:tabs>
        <w:tab w:val="right" w:pos="8478"/>
      </w:tabs>
      <w:spacing w:after="200"/>
      <w:rPr>
        <w:rFonts w:ascii="Cambria" w:eastAsia="Cambria" w:hAnsi="Cambria" w:cs="Cambria"/>
        <w:color w:val="000000"/>
      </w:rPr>
    </w:pPr>
    <w:r>
      <w:rPr>
        <w:noProof/>
      </w:rPr>
      <w:drawing>
        <wp:anchor distT="0" distB="0" distL="0" distR="0" simplePos="0" relativeHeight="251658240" behindDoc="0" locked="0" layoutInCell="1" hidden="0" allowOverlap="1" wp14:anchorId="2FE55FF8" wp14:editId="0D9F82F7">
          <wp:simplePos x="0" y="0"/>
          <wp:positionH relativeFrom="column">
            <wp:posOffset>0</wp:posOffset>
          </wp:positionH>
          <wp:positionV relativeFrom="paragraph">
            <wp:posOffset>0</wp:posOffset>
          </wp:positionV>
          <wp:extent cx="2073275" cy="1430655"/>
          <wp:effectExtent l="0" t="0" r="0" b="0"/>
          <wp:wrapSquare wrapText="bothSides" distT="0" distB="0" distL="0" distR="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073275" cy="1430655"/>
                  </a:xfrm>
                  <a:prstGeom prst="rect">
                    <a:avLst/>
                  </a:prstGeom>
                  <a:ln/>
                </pic:spPr>
              </pic:pic>
            </a:graphicData>
          </a:graphic>
        </wp:anchor>
      </w:drawing>
    </w:r>
  </w:p>
  <w:p w14:paraId="4706701C" w14:textId="77777777" w:rsidR="00B06616" w:rsidRDefault="00B06616">
    <w:pPr>
      <w:pBdr>
        <w:top w:val="nil"/>
        <w:left w:val="nil"/>
        <w:bottom w:val="nil"/>
        <w:right w:val="nil"/>
        <w:between w:val="nil"/>
      </w:pBdr>
      <w:tabs>
        <w:tab w:val="right" w:pos="8478"/>
      </w:tabs>
      <w:spacing w:after="200"/>
      <w:rPr>
        <w:rFonts w:ascii="Cambria" w:eastAsia="Cambria" w:hAnsi="Cambria" w:cs="Cambria"/>
        <w:color w:val="000000"/>
      </w:rPr>
    </w:pPr>
  </w:p>
  <w:p w14:paraId="5D07C18E" w14:textId="77777777" w:rsidR="00B06616" w:rsidRDefault="00B06616">
    <w:pPr>
      <w:pBdr>
        <w:top w:val="nil"/>
        <w:left w:val="nil"/>
        <w:bottom w:val="nil"/>
        <w:right w:val="nil"/>
        <w:between w:val="nil"/>
      </w:pBdr>
      <w:tabs>
        <w:tab w:val="right" w:pos="8478"/>
      </w:tabs>
      <w:spacing w:after="200"/>
      <w:rPr>
        <w:rFonts w:ascii="Cambria" w:eastAsia="Cambria" w:hAnsi="Cambria" w:cs="Cambria"/>
        <w:color w:val="000000"/>
      </w:rPr>
    </w:pPr>
  </w:p>
  <w:p w14:paraId="0D994732" w14:textId="77777777" w:rsidR="00B06616" w:rsidRDefault="00B06616">
    <w:pPr>
      <w:pBdr>
        <w:top w:val="nil"/>
        <w:left w:val="nil"/>
        <w:bottom w:val="nil"/>
        <w:right w:val="nil"/>
        <w:between w:val="nil"/>
      </w:pBdr>
      <w:tabs>
        <w:tab w:val="right" w:pos="8478"/>
      </w:tabs>
      <w:spacing w:after="200"/>
      <w:rPr>
        <w:rFonts w:ascii="Cambria" w:eastAsia="Cambria" w:hAnsi="Cambria" w:cs="Cambria"/>
        <w:color w:val="000000"/>
      </w:rPr>
    </w:pPr>
  </w:p>
  <w:p w14:paraId="4C4CFE23" w14:textId="77777777" w:rsidR="00B06616" w:rsidRDefault="00B06616">
    <w:pPr>
      <w:pBdr>
        <w:top w:val="nil"/>
        <w:left w:val="nil"/>
        <w:bottom w:val="nil"/>
        <w:right w:val="nil"/>
        <w:between w:val="nil"/>
      </w:pBdr>
      <w:tabs>
        <w:tab w:val="right" w:pos="8478"/>
      </w:tabs>
      <w:spacing w:after="200"/>
      <w:rPr>
        <w:rFonts w:ascii="Cambria" w:eastAsia="Cambria" w:hAnsi="Cambria" w:cs="Cambria"/>
        <w:color w:val="000000"/>
      </w:rPr>
    </w:pPr>
  </w:p>
  <w:p w14:paraId="40BE6EAA" w14:textId="77777777" w:rsidR="00B06616" w:rsidRDefault="00B06616">
    <w:pPr>
      <w:pBdr>
        <w:top w:val="nil"/>
        <w:left w:val="nil"/>
        <w:bottom w:val="nil"/>
        <w:right w:val="nil"/>
        <w:between w:val="nil"/>
      </w:pBdr>
      <w:tabs>
        <w:tab w:val="right" w:pos="8478"/>
      </w:tabs>
      <w:spacing w:after="200"/>
      <w:rPr>
        <w:rFonts w:ascii="Cambria" w:eastAsia="Cambria" w:hAnsi="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880B12"/>
    <w:multiLevelType w:val="multilevel"/>
    <w:tmpl w:val="C4B021FC"/>
    <w:lvl w:ilvl="0">
      <w:start w:val="1"/>
      <w:numFmt w:val="decimal"/>
      <w:pStyle w:val="Listaconvieta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6A04DC9"/>
    <w:multiLevelType w:val="multilevel"/>
    <w:tmpl w:val="DD606A0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584295998">
    <w:abstractNumId w:val="1"/>
  </w:num>
  <w:num w:numId="2" w16cid:durableId="2057210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616"/>
    <w:rsid w:val="004A4698"/>
    <w:rsid w:val="009722E2"/>
    <w:rsid w:val="00A125CE"/>
    <w:rsid w:val="00B066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CEF0A43"/>
  <w15:docId w15:val="{D899861B-EBD5-D04A-A0D3-BDD799B05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bCs/>
      <w:color w:val="000000"/>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b/>
      <w:bCs/>
      <w:color w:val="000000"/>
      <w:sz w:val="72"/>
      <w:szCs w:val="72"/>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a">
    <w:basedOn w:val="TableNormal2"/>
    <w:tblPr>
      <w:tblStyleRowBandSize w:val="1"/>
      <w:tblStyleColBandSize w:val="1"/>
    </w:tblPr>
  </w:style>
  <w:style w:type="paragraph" w:styleId="Prrafodelista">
    <w:name w:val="List Paragraph"/>
    <w:aliases w:val="numbered,Paragraphe de liste1,Bullet List,FooterText"/>
    <w:basedOn w:val="Normal"/>
    <w:link w:val="PrrafodelistaCar"/>
    <w:uiPriority w:val="34"/>
    <w:qFormat/>
    <w:rsid w:val="004348AD"/>
    <w:pPr>
      <w:ind w:left="720"/>
      <w:contextualSpacing/>
    </w:pPr>
  </w:style>
  <w:style w:type="character" w:styleId="Hipervnculo">
    <w:name w:val="Hyperlink"/>
    <w:basedOn w:val="Fuentedeprrafopredeter"/>
    <w:uiPriority w:val="99"/>
    <w:unhideWhenUsed/>
    <w:rsid w:val="00D15796"/>
    <w:rPr>
      <w:color w:val="0000FF" w:themeColor="hyperlink"/>
      <w:u w:val="single"/>
    </w:rPr>
  </w:style>
  <w:style w:type="character" w:customStyle="1" w:styleId="Mencinsinresolver1">
    <w:name w:val="Mención sin resolver1"/>
    <w:basedOn w:val="Fuentedeprrafopredeter"/>
    <w:uiPriority w:val="99"/>
    <w:semiHidden/>
    <w:unhideWhenUsed/>
    <w:rsid w:val="007E7562"/>
    <w:rPr>
      <w:color w:val="605E5C"/>
      <w:shd w:val="clear" w:color="auto" w:fill="E1DFDD"/>
    </w:rPr>
  </w:style>
  <w:style w:type="character" w:styleId="Hipervnculovisitado">
    <w:name w:val="FollowedHyperlink"/>
    <w:basedOn w:val="Fuentedeprrafopredeter"/>
    <w:uiPriority w:val="99"/>
    <w:semiHidden/>
    <w:unhideWhenUsed/>
    <w:rsid w:val="007E7562"/>
    <w:rPr>
      <w:color w:val="800080" w:themeColor="followedHyperlink"/>
      <w:u w:val="single"/>
    </w:rPr>
  </w:style>
  <w:style w:type="paragraph" w:styleId="Encabezado">
    <w:name w:val="header"/>
    <w:basedOn w:val="Normal"/>
    <w:link w:val="EncabezadoCar"/>
    <w:uiPriority w:val="99"/>
    <w:unhideWhenUsed/>
    <w:rsid w:val="003E7D4F"/>
    <w:pPr>
      <w:tabs>
        <w:tab w:val="center" w:pos="4252"/>
        <w:tab w:val="right" w:pos="8504"/>
      </w:tabs>
    </w:pPr>
  </w:style>
  <w:style w:type="character" w:customStyle="1" w:styleId="EncabezadoCar">
    <w:name w:val="Encabezado Car"/>
    <w:basedOn w:val="Fuentedeprrafopredeter"/>
    <w:link w:val="Encabezado"/>
    <w:uiPriority w:val="99"/>
    <w:rsid w:val="003E7D4F"/>
  </w:style>
  <w:style w:type="paragraph" w:styleId="Piedepgina">
    <w:name w:val="footer"/>
    <w:basedOn w:val="Normal"/>
    <w:link w:val="PiedepginaCar"/>
    <w:uiPriority w:val="99"/>
    <w:unhideWhenUsed/>
    <w:rsid w:val="003E7D4F"/>
    <w:pPr>
      <w:tabs>
        <w:tab w:val="center" w:pos="4252"/>
        <w:tab w:val="right" w:pos="8504"/>
      </w:tabs>
    </w:pPr>
  </w:style>
  <w:style w:type="character" w:customStyle="1" w:styleId="PiedepginaCar">
    <w:name w:val="Pie de página Car"/>
    <w:basedOn w:val="Fuentedeprrafopredeter"/>
    <w:link w:val="Piedepgina"/>
    <w:uiPriority w:val="99"/>
    <w:rsid w:val="003E7D4F"/>
  </w:style>
  <w:style w:type="paragraph" w:styleId="NormalWeb">
    <w:name w:val="Normal (Web)"/>
    <w:basedOn w:val="Normal"/>
    <w:uiPriority w:val="99"/>
    <w:unhideWhenUsed/>
    <w:rsid w:val="001863FF"/>
    <w:pPr>
      <w:spacing w:before="100" w:beforeAutospacing="1" w:after="100" w:afterAutospacing="1"/>
    </w:pPr>
    <w:rPr>
      <w:rFonts w:ascii="Calibri" w:eastAsiaTheme="minorHAnsi" w:hAnsi="Calibri" w:cs="Calibri"/>
      <w:sz w:val="22"/>
      <w:szCs w:val="22"/>
      <w:lang w:val="en-GB"/>
    </w:rPr>
  </w:style>
  <w:style w:type="character" w:styleId="Fuerte">
    <w:name w:val="Strong"/>
    <w:basedOn w:val="Fuentedeprrafopredeter"/>
    <w:uiPriority w:val="22"/>
    <w:qFormat/>
    <w:rsid w:val="009368A3"/>
    <w:rPr>
      <w:b/>
      <w:bCs/>
    </w:rPr>
  </w:style>
  <w:style w:type="character" w:styleId="Mencinsinresolver">
    <w:name w:val="Unresolved Mention"/>
    <w:basedOn w:val="Fuentedeprrafopredeter"/>
    <w:uiPriority w:val="99"/>
    <w:semiHidden/>
    <w:unhideWhenUsed/>
    <w:rsid w:val="005647D6"/>
    <w:rPr>
      <w:color w:val="605E5C"/>
      <w:shd w:val="clear" w:color="auto" w:fill="E1DFDD"/>
    </w:rPr>
  </w:style>
  <w:style w:type="paragraph" w:styleId="Textocomentario">
    <w:name w:val="annotation text"/>
    <w:basedOn w:val="Normal"/>
    <w:link w:val="TextocomentarioCar"/>
    <w:uiPriority w:val="99"/>
    <w:semiHidden/>
    <w:unhideWhenUsed/>
    <w:rsid w:val="005647D6"/>
    <w:pPr>
      <w:spacing w:after="160"/>
    </w:pPr>
    <w:rPr>
      <w:rFonts w:asciiTheme="minorHAnsi" w:eastAsiaTheme="minorEastAsia" w:hAnsiTheme="minorHAnsi" w:cstheme="minorBidi"/>
      <w:sz w:val="20"/>
      <w:szCs w:val="20"/>
      <w:lang w:val="en-GB" w:eastAsia="zh-CN"/>
    </w:rPr>
  </w:style>
  <w:style w:type="character" w:customStyle="1" w:styleId="TextocomentarioCar">
    <w:name w:val="Texto comentario Car"/>
    <w:basedOn w:val="Fuentedeprrafopredeter"/>
    <w:link w:val="Textocomentario"/>
    <w:uiPriority w:val="99"/>
    <w:semiHidden/>
    <w:rsid w:val="005647D6"/>
    <w:rPr>
      <w:rFonts w:asciiTheme="minorHAnsi" w:eastAsiaTheme="minorEastAsia" w:hAnsiTheme="minorHAnsi" w:cstheme="minorBidi"/>
      <w:sz w:val="20"/>
      <w:szCs w:val="20"/>
      <w:lang w:val="en-GB" w:eastAsia="zh-CN"/>
    </w:rPr>
  </w:style>
  <w:style w:type="character" w:customStyle="1" w:styleId="PrrafodelistaCar">
    <w:name w:val="Párrafo de lista Car"/>
    <w:aliases w:val="numbered Car,Paragraphe de liste1 Car,Bullet List Car,FooterText Car"/>
    <w:basedOn w:val="Fuentedeprrafopredeter"/>
    <w:link w:val="Prrafodelista"/>
    <w:uiPriority w:val="34"/>
    <w:locked/>
    <w:rsid w:val="005647D6"/>
  </w:style>
  <w:style w:type="character" w:customStyle="1" w:styleId="wordsection1Char">
    <w:name w:val="wordsection1 Char"/>
    <w:basedOn w:val="Fuentedeprrafopredeter"/>
    <w:link w:val="wordsection1"/>
    <w:uiPriority w:val="99"/>
    <w:locked/>
    <w:rsid w:val="005647D6"/>
    <w:rPr>
      <w:rFonts w:ascii="Calibri" w:hAnsi="Calibri" w:cs="Calibri"/>
    </w:rPr>
  </w:style>
  <w:style w:type="paragraph" w:customStyle="1" w:styleId="wordsection1">
    <w:name w:val="wordsection1"/>
    <w:basedOn w:val="Normal"/>
    <w:link w:val="wordsection1Char"/>
    <w:uiPriority w:val="99"/>
    <w:rsid w:val="005647D6"/>
    <w:rPr>
      <w:rFonts w:ascii="Calibri" w:hAnsi="Calibri" w:cs="Calibri"/>
    </w:rPr>
  </w:style>
  <w:style w:type="character" w:styleId="Refdecomentario">
    <w:name w:val="annotation reference"/>
    <w:basedOn w:val="Fuentedeprrafopredeter"/>
    <w:uiPriority w:val="99"/>
    <w:semiHidden/>
    <w:unhideWhenUsed/>
    <w:rsid w:val="005647D6"/>
    <w:rPr>
      <w:sz w:val="16"/>
      <w:szCs w:val="16"/>
    </w:rPr>
  </w:style>
  <w:style w:type="character" w:customStyle="1" w:styleId="normaltextrun">
    <w:name w:val="normaltextrun"/>
    <w:basedOn w:val="Fuentedeprrafopredeter"/>
    <w:rsid w:val="005647D6"/>
  </w:style>
  <w:style w:type="table" w:customStyle="1" w:styleId="a0">
    <w:basedOn w:val="TableNormal2"/>
    <w:tblPr>
      <w:tblStyleRowBandSize w:val="1"/>
      <w:tblStyleColBandSize w:val="1"/>
    </w:tblPr>
  </w:style>
  <w:style w:type="character" w:styleId="nfasis">
    <w:name w:val="Emphasis"/>
    <w:basedOn w:val="Fuentedeprrafopredeter"/>
    <w:uiPriority w:val="20"/>
    <w:qFormat/>
    <w:rsid w:val="000D6301"/>
    <w:rPr>
      <w:i/>
      <w:iCs/>
    </w:rPr>
  </w:style>
  <w:style w:type="paragraph" w:styleId="Tabladeilustraciones">
    <w:name w:val="table of figures"/>
    <w:basedOn w:val="Normal"/>
    <w:next w:val="Normal"/>
  </w:style>
  <w:style w:type="paragraph" w:styleId="Listaconvietas">
    <w:name w:val="List Bullet"/>
    <w:basedOn w:val="Normal"/>
    <w:uiPriority w:val="99"/>
    <w:unhideWhenUsed/>
    <w:rsid w:val="00461D3F"/>
    <w:pPr>
      <w:numPr>
        <w:numId w:val="2"/>
      </w:numPr>
      <w:spacing w:after="200" w:line="276" w:lineRule="auto"/>
      <w:ind w:left="0" w:firstLine="0"/>
      <w:contextualSpacing/>
    </w:pPr>
    <w:rPr>
      <w:rFonts w:ascii="Century Gothic" w:eastAsiaTheme="minorEastAsia" w:hAnsi="Century Gothic"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IK1MXRmKs00+Qg0kUVeclqidUw==">CgMxLjAiuQIKG2RvY28uazRONXFwbWdaQVp0UWlXZWVVTGl1ZxL1AQobZG9jby5rNE41cXBtZ1pBWnRRaVdlZVVMaXVnEhtkb2NvLms0TjVxcG1nWkFadFFpV2VlVUxpdWcaDQoJdGV4dC9odG1sEgAiDgoKdGV4dC9wbGFpbhIAKhsiFTExMjkwNzU5NTUwMzkxMDkxNjQ0OCgAOAAwrZab2Zo0ONeYm9maNEo7CiRhcHBsaWNhdGlvbi92bmQuZ29vZ2xlLWFwcHMuZG9jcy5tZHMaE8LX2uQBDRoLCgcKASIQARgAEAFaDDlsdDNjNThwcmlxcnICIAB4AIIBFHN1Z2dlc3QuZnA3ZGp5aGRlODRzmgEGCAAQABgAGK2Wm9maNCDXmJvZmjRCFHN1Z2dlc3QuZnA3ZGp5aGRlODRzIrkCChtkb2NvLmxPOHpWNHI1TU96SWg5ZTlSQVpDYUES9QEKG2RvY28ubE84elY0cjVNT3pJaDllOVJBWkNhQRIbZG9jby5sTzh6VjRyNU1PekloOWU5UkFaQ2FBGg0KCXRleHQvaHRtbBIAIg4KCnRleHQvcGxhaW4SACobIhUxMTI5MDc1OTU1MDM5MTA5MTY0NDgoADgAMKmvmtmaNDjwsZrZmjRKOwokYXBwbGljYXRpb24vdm5kLmdvb2dsZS1hcHBzLmRvY3MubWRzGhPC19rkAQ0aCwoHCgEiEAEYABABWgxmcHdnbmt4MGI1bmlyAiAAeACCARRzdWdnZXN0Ljg4bTNoa3Nkc2hkdpoBBggAEAAYABipr5rZmjQg8LGa2Zo0QhRzdWdnZXN0Ljg4bTNoa3Nkc2hkdjgAaiIKFHN1Z2dlc3QuZnA3ZGp5aGRlODRzEgpBbmEgTGxvdmV0aiIKFHN1Z2dlc3QueHBvNWhxcmhmY2g3EgpBbmEgTGxvdmV0aiIKFHN1Z2dlc3QuaG4yc3Uwa3lxNGNxEgpBbmEgTGxvdmV0aiIKFHN1Z2dlc3QuODhtM2hrc2RzaGR2EgpBbmEgTGxvdmV0aiIKFHN1Z2dlc3QudTFsM3o4OG85ZWgwEgpBbmEgTGxvdmV0ciExVi1OWl9DV3RUUGlkb1Y4NGN3SlFrNGxka1lkZVBjUW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3249</Words>
  <Characters>16053</Characters>
  <Application>Microsoft Office Word</Application>
  <DocSecurity>0</DocSecurity>
  <Lines>297</Lines>
  <Paragraphs>62</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19240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2</cp:revision>
  <dcterms:created xsi:type="dcterms:W3CDTF">2026-11-05T08:17:00Z</dcterms:created>
  <dcterms:modified xsi:type="dcterms:W3CDTF">2026-11-05T10:58:00Z</dcterms:modified>
  <cp:category/>
</cp:coreProperties>
</file>