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Contacto: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EMIRATES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Sergat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Teléfono: 93 414 02 10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Correo electrónico: </w:t>
      </w:r>
      <w:r w:rsidDel="00000000" w:rsidR="00000000" w:rsidRPr="00000000">
        <w:rPr>
          <w:rFonts w:ascii="Century Gothic" w:cs="Century Gothic" w:eastAsia="Century Gothic" w:hAnsi="Century Gothic"/>
          <w:color w:val="0000ff"/>
          <w:sz w:val="18"/>
          <w:szCs w:val="18"/>
          <w:rtl w:val="0"/>
        </w:rPr>
        <w:t xml:space="preserve">prensa@sergat.com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center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Emirates Skywards premia a sus miembros con millas adicionales en hoteles, paquetes vacacionales y alquiler de coches este invierno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2"/>
          <w:szCs w:val="22"/>
          <w:rtl w:val="0"/>
        </w:rPr>
        <w:t xml:space="preserve">Dubái, EAU, 3 de noviembre de 2026: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Emirates Skywards, el galardonado programa de fidelización de Emirates y flydubai, ofrece a sus miembros aún más motivos para descubrir el mundo este invierno, con atractivas ofertas en su red global de socios hoteleros, vacacionales y de alquiler de coches.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Hasta el 30 de noviembre de 2026, los miembros pueden acumular el doble de millas Skywards al reservar estancias en hoteles y alquileres de coches con los socios participantes, así como un 50 % de millas adicionales con Emirates Skywards Hotels y en los paquetes de Emirates Holidays. Además, pueden disfrutar de un 25 % de millas adicionales al convertir sus puntos ALL Accor Reward en millas Skywards.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Tanto si planean una escapada en familia durante las fiestas como una escapada invernal o unas vacaciones largamente esperadas, los miembros pueden sacar aún más partido a sus planes de viaje gracias a una serie de ofertas: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Más millas en hoteles y vacaciones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Emirates Skywards Hotels: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un 50 % de 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millas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adicionales en estancias hoteleras.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Emirates Holidays: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un 50 % de 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millas 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adicionales en paquetes vacacionales.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Booking.com: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el doble de 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millas 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estancias hoteleras.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IHG Hotels &amp; Resorts: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el doble de 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millas 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estancias hoteleras elegibles.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Accor: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un 25 % de 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millas 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adicionales al convertir puntos ALL Accor Reward en 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millas 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Skywards.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El doble de millas en alquiler de coches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Los miembros también pueden acumular el doble de millas Skywards al alquilar un coche con SIXT, Europcar, Avis, Budget y Hertz, lo que hace aún más gratificante descubrir su destino a su propio ritmo.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Estas ofertas por tiempo limitado son válidas para reservas de hotel y de alquiler de coches realizadas entre el 29 de octubre y el 30 de noviembre de 2026, para estancias y alquileres que finalicen antes del 31 de enero de 2027 incluido.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En el caso de los paquetes de Emirates Holidays, los miembros deben reservar entre el 29 de octubre y el 26 de noviembre de 2026, para viajar hasta el 31 de enero de 2027.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jc w:val="both"/>
        <w:rPr>
          <w:rFonts w:ascii="Century Gothic" w:cs="Century Gothic" w:eastAsia="Century Gothic" w:hAnsi="Century Gothic"/>
          <w:b w:val="1"/>
          <w:bCs w:val="1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Con más oportunidades de acumular millas más allá de los vuelos, Emirates Skywards sigue ofreciendo a sus miembros más valor y flexibilidad a través de su amplia red de socios de viaje y estilo de vida, con más formas de acumular y canjear Miles tanto durante sus viajes como en su día a día.</w:t>
      </w: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734" w:top="1417" w:left="1276" w:right="126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73275" cy="1430655"/>
          <wp:effectExtent b="0" l="0" r="0" t="0"/>
          <wp:wrapSquare wrapText="bothSides" distB="0" distT="0" distL="0" distR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73275" cy="14306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478"/>
      </w:tabs>
      <w:spacing w:after="20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paragraph" w:styleId="Prrafodelista">
    <w:name w:val="List Paragraph"/>
    <w:aliases w:val="numbered,Paragraphe de liste1,Bullet List,FooterText"/>
    <w:basedOn w:val="Normal"/>
    <w:link w:val="PrrafodelistaCar"/>
    <w:uiPriority w:val="34"/>
    <w:qFormat w:val="1"/>
    <w:rsid w:val="004348AD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D15796"/>
    <w:rPr>
      <w:color w:val="0000ff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7E7562"/>
    <w:rPr>
      <w:color w:val="605e5c"/>
      <w:shd w:color="auto" w:fill="e1dfdd" w:val="clear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7E7562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 w:val="1"/>
    <w:rsid w:val="003E7D4F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3E7D4F"/>
  </w:style>
  <w:style w:type="paragraph" w:styleId="Piedepgina">
    <w:name w:val="footer"/>
    <w:basedOn w:val="Normal"/>
    <w:link w:val="PiedepginaCar"/>
    <w:uiPriority w:val="99"/>
    <w:unhideWhenUsed w:val="1"/>
    <w:rsid w:val="003E7D4F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3E7D4F"/>
  </w:style>
  <w:style w:type="paragraph" w:styleId="NormalWeb">
    <w:name w:val="Normal (Web)"/>
    <w:basedOn w:val="Normal"/>
    <w:uiPriority w:val="99"/>
    <w:unhideWhenUsed w:val="1"/>
    <w:rsid w:val="001863FF"/>
    <w:pPr>
      <w:spacing w:after="100" w:afterAutospacing="1" w:before="100" w:beforeAutospacing="1"/>
    </w:pPr>
    <w:rPr>
      <w:rFonts w:ascii="Calibri" w:cs="Calibri" w:hAnsi="Calibri" w:eastAsiaTheme="minorHAnsi"/>
      <w:sz w:val="22"/>
      <w:szCs w:val="22"/>
      <w:lang w:val="en-GB"/>
    </w:rPr>
  </w:style>
  <w:style w:type="character" w:styleId="Fuerte">
    <w:name w:val="Strong"/>
    <w:basedOn w:val="Fuentedeprrafopredeter"/>
    <w:uiPriority w:val="22"/>
    <w:qFormat w:val="1"/>
    <w:rsid w:val="009368A3"/>
    <w:rPr>
      <w:b w:val="1"/>
      <w:bCs w:val="1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5647D6"/>
    <w:rPr>
      <w:color w:val="605e5c"/>
      <w:shd w:color="auto" w:fill="e1dfdd" w:val="clear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5647D6"/>
    <w:pPr>
      <w:spacing w:after="160"/>
    </w:pPr>
    <w:rPr>
      <w:rFonts w:asciiTheme="minorHAnsi" w:cstheme="minorBidi" w:eastAsiaTheme="minorEastAsia" w:hAnsiTheme="minorHAnsi"/>
      <w:sz w:val="20"/>
      <w:szCs w:val="20"/>
      <w:lang w:eastAsia="zh-CN" w:val="en-GB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5647D6"/>
    <w:rPr>
      <w:rFonts w:asciiTheme="minorHAnsi" w:cstheme="minorBidi" w:eastAsiaTheme="minorEastAsia" w:hAnsiTheme="minorHAnsi"/>
      <w:sz w:val="20"/>
      <w:szCs w:val="20"/>
      <w:lang w:eastAsia="zh-CN" w:val="en-GB"/>
    </w:rPr>
  </w:style>
  <w:style w:type="character" w:styleId="PrrafodelistaCar" w:customStyle="1">
    <w:name w:val="Párrafo de lista Car"/>
    <w:aliases w:val="numbered Car,Paragraphe de liste1 Car,Bullet List Car,FooterText Car"/>
    <w:basedOn w:val="Fuentedeprrafopredeter"/>
    <w:link w:val="Prrafodelista"/>
    <w:uiPriority w:val="34"/>
    <w:locked w:val="1"/>
    <w:rsid w:val="005647D6"/>
  </w:style>
  <w:style w:type="character" w:styleId="wordsection1Char" w:customStyle="1">
    <w:name w:val="wordsection1 Char"/>
    <w:basedOn w:val="Fuentedeprrafopredeter"/>
    <w:link w:val="wordsection1"/>
    <w:uiPriority w:val="99"/>
    <w:locked w:val="1"/>
    <w:rsid w:val="005647D6"/>
    <w:rPr>
      <w:rFonts w:ascii="Calibri" w:cs="Calibri" w:hAnsi="Calibri"/>
    </w:rPr>
  </w:style>
  <w:style w:type="paragraph" w:styleId="wordsection1" w:customStyle="1">
    <w:name w:val="wordsection1"/>
    <w:basedOn w:val="Normal"/>
    <w:link w:val="wordsection1Char"/>
    <w:uiPriority w:val="99"/>
    <w:rsid w:val="005647D6"/>
    <w:rPr>
      <w:rFonts w:ascii="Calibri" w:cs="Calibri" w:hAnsi="Calibri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5647D6"/>
    <w:rPr>
      <w:sz w:val="16"/>
      <w:szCs w:val="16"/>
    </w:rPr>
  </w:style>
  <w:style w:type="character" w:styleId="normaltextrun" w:customStyle="1">
    <w:name w:val="normaltextrun"/>
    <w:basedOn w:val="Fuentedeprrafopredeter"/>
    <w:rsid w:val="005647D6"/>
  </w:style>
  <w:style w:type="table" w:styleId="a0" w:customStyle="1">
    <w:basedOn w:val="TableNormal0"/>
    <w:tblPr>
      <w:tblStyleRowBandSize w:val="1"/>
      <w:tblStyleColBandSize w:val="1"/>
    </w:tblPr>
  </w:style>
  <w:style w:type="character" w:styleId="nfasis">
    <w:name w:val="Emphasis"/>
    <w:basedOn w:val="Fuentedeprrafopredeter"/>
    <w:uiPriority w:val="20"/>
    <w:qFormat w:val="1"/>
    <w:rsid w:val="000D6301"/>
    <w:rPr>
      <w:i w:val="1"/>
      <w:iCs w:val="1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Y3EUyouZYqKzU37sNqvav9p7Nw==">CgMxLjA4AHIhMTdQdDlieWU5ZEc4LS1ZODhkYzhQaGRLT3ZVb0E2S2U2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2026-11-03T10:48:00Z</dcterms:created>
  <dc:creator>Usuario</dc:creator>
</cp:coreProperties>
</file>