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9D75D2" w14:textId="77777777" w:rsidR="00DE7243"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Contacto:</w:t>
      </w:r>
    </w:p>
    <w:p w14:paraId="08BDD35B" w14:textId="77777777" w:rsidR="00DE7243"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EMIRATES </w:t>
      </w:r>
    </w:p>
    <w:p w14:paraId="75620A45" w14:textId="77777777" w:rsidR="00DE7243"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Sergat </w:t>
      </w:r>
    </w:p>
    <w:p w14:paraId="4D30EC75" w14:textId="77777777" w:rsidR="00DE7243"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Teléfono: 93 414 02 10</w:t>
      </w:r>
    </w:p>
    <w:p w14:paraId="68EC13DA" w14:textId="77777777" w:rsidR="00DE7243" w:rsidRDefault="00000000">
      <w:pPr>
        <w:pBdr>
          <w:top w:val="nil"/>
          <w:left w:val="nil"/>
          <w:bottom w:val="nil"/>
          <w:right w:val="nil"/>
          <w:between w:val="nil"/>
        </w:pBdr>
        <w:spacing w:line="360" w:lineRule="auto"/>
        <w:jc w:val="both"/>
        <w:rPr>
          <w:rFonts w:ascii="Cambria" w:eastAsia="Cambria" w:hAnsi="Cambria" w:cs="Cambria"/>
          <w:color w:val="000000"/>
        </w:rPr>
      </w:pPr>
      <w:r>
        <w:rPr>
          <w:rFonts w:ascii="Century Gothic" w:eastAsia="Century Gothic" w:hAnsi="Century Gothic" w:cs="Century Gothic"/>
          <w:color w:val="000000"/>
          <w:sz w:val="18"/>
          <w:szCs w:val="18"/>
        </w:rPr>
        <w:t xml:space="preserve">Correo electrónico: </w:t>
      </w:r>
      <w:r>
        <w:rPr>
          <w:rFonts w:ascii="Century Gothic" w:eastAsia="Century Gothic" w:hAnsi="Century Gothic" w:cs="Century Gothic"/>
          <w:color w:val="0000FF"/>
          <w:sz w:val="18"/>
          <w:szCs w:val="18"/>
        </w:rPr>
        <w:t xml:space="preserve">prensa@sergat.com   </w:t>
      </w:r>
    </w:p>
    <w:p w14:paraId="43C279BF" w14:textId="77777777" w:rsidR="00DE7243" w:rsidRDefault="00DE7243">
      <w:pPr>
        <w:jc w:val="center"/>
        <w:rPr>
          <w:sz w:val="20"/>
          <w:szCs w:val="20"/>
        </w:rPr>
      </w:pPr>
    </w:p>
    <w:p w14:paraId="16C56F47" w14:textId="77777777" w:rsidR="00DE7243" w:rsidRDefault="00000000">
      <w:pPr>
        <w:pBdr>
          <w:top w:val="nil"/>
          <w:left w:val="nil"/>
          <w:bottom w:val="nil"/>
          <w:right w:val="nil"/>
          <w:between w:val="nil"/>
        </w:pBdr>
        <w:spacing w:before="280" w:line="360" w:lineRule="auto"/>
        <w:jc w:val="center"/>
        <w:rPr>
          <w:rFonts w:ascii="Century Gothic" w:eastAsia="Century Gothic" w:hAnsi="Century Gothic" w:cs="Century Gothic"/>
          <w:b/>
          <w:bCs/>
        </w:rPr>
      </w:pPr>
      <w:r>
        <w:rPr>
          <w:rFonts w:ascii="Century Gothic" w:eastAsia="Century Gothic" w:hAnsi="Century Gothic" w:cs="Century Gothic"/>
          <w:b/>
          <w:bCs/>
        </w:rPr>
        <w:t>Un festival de sabores despega: Emirates celebra Diwali</w:t>
      </w:r>
    </w:p>
    <w:p w14:paraId="2F4AB6EF"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Dubái, EAU, 4 de noviembre de 2026:</w:t>
      </w:r>
      <w:r>
        <w:rPr>
          <w:rFonts w:ascii="Century Gothic" w:eastAsia="Century Gothic" w:hAnsi="Century Gothic" w:cs="Century Gothic"/>
          <w:sz w:val="22"/>
          <w:szCs w:val="22"/>
        </w:rPr>
        <w:t xml:space="preserve"> Emirates lleva a los cielos el brillo y el espíritu de Diwali, la fiesta hindú de las luces, con delicias tradicionales indias, experiencias gastronómicas festivas y un mundo de entretenimiento. Los días 7 y 8 de noviembre, los clientes que viajen entre Dubái y nueve destinos de la India (Ahmedabad, Bengaluru, Kochi, Chennai, Delhi, Hyderabad, Thiruvananthapuram, Calcuta y Bombay) podrán disfrutar de dulces especiales de Diwali en todas las clases de cabina, mientras que una selección de salas VIP de Emirates servirá una variedad de especialidades indias para celebrar la ocasión.</w:t>
      </w:r>
    </w:p>
    <w:p w14:paraId="6058B4E1"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Dulces tradicionales de Diwali en todas las clases de cabina</w:t>
      </w:r>
    </w:p>
    <w:p w14:paraId="46201592"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Los clientes de Emirates que viajen desde y hacia la India podrán saborear Diwali con los dulces tradicionales indios que se servirán a bordo. Los clientes de Premium Economy y Economy Class disfrutarán de motichoor laddu junto a su comida caliente: delicadas perlas doradas de harina de garbanzo bañadas en almíbar, aromatizadas con cardamomo y azafrán y terminadas con pistachos. Los clientes de First y Business Class también podrán darse un capricho con el kaju pista roll, un exquisito dulce con aroma de rosa elaborado con anacardos, pistachos, frutas deshidratadas y frutos secos, y envuelto con elegancia en una lámina de plata comestible.</w:t>
      </w:r>
    </w:p>
    <w:p w14:paraId="57E86937"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Cocina india festiva y postres de Diwali en las salas VIP de First y Business Class de Emirates</w:t>
      </w:r>
    </w:p>
    <w:p w14:paraId="0A194165"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Del 3 al 8 de noviembre, las salas VIP de First y Business Class de Emirates en Dubái celebrarán Diwali con una vibrante selección de especialidades indias. Los clientes </w:t>
      </w:r>
      <w:r>
        <w:rPr>
          <w:rFonts w:ascii="Century Gothic" w:eastAsia="Century Gothic" w:hAnsi="Century Gothic" w:cs="Century Gothic"/>
          <w:sz w:val="22"/>
          <w:szCs w:val="22"/>
        </w:rPr>
        <w:lastRenderedPageBreak/>
        <w:t>podrán degustar vada pav acompañado de un chutney ácido de tamarindo y otro refrescante de menta, seguido de una variedad de postres tradicionales como malai sandwich, mango delight, malai roll y el popular gajar ka halwa. Los clientes de First Class también podrán brindar por la celebración con un Spicy Saffron Martini creado especialmente para la ocasión o con un refrescante mocktail Iced Masala Cooler.</w:t>
      </w:r>
    </w:p>
    <w:p w14:paraId="05EE6E13"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En las salas VIP de Business Class de Emirates en Dubái, el menú festivo incluirá especialidades saladas como samosa de keema de verduras, kachori de cebolla y potli samosa de paneer, servidos con chutneys de tamarindo y de menta. Como broche dulce, los clientes podrán disfrutar de balushahi, mango rajbhog y mini kesari rasgullas.</w:t>
      </w:r>
    </w:p>
    <w:p w14:paraId="27019317"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Las celebraciones se extenderán a las salas VIP de Emirates en Ciudad del Cabo y Johannesburgo, donde los clientes podrán disfrutar de una selección de dulces tradicionales como coconut ice, barfi y jalebi.</w:t>
      </w:r>
    </w:p>
    <w:p w14:paraId="02749813"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Éxitos de Bollywood, televisión y música india en ice</w:t>
      </w:r>
    </w:p>
    <w:p w14:paraId="4DFAC5A7"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La celebración de Diwali continúa a bordo con una amplia selección de entretenimiento indio en ice, el galardonado sistema de entretenimiento a bordo de Emirates. Los clientes podrán elegir entre hasta 157 películas indias, incluidos títulos de Bollywood como Mardaani 3, Mayasabha – The Hall of Illusion y Coolie, además de una amplia variedad de películas regionales en nueve idiomas: tamil, telugu, malayalam, canarés, maratí, panyabí, bhojpuri, bengalí y guyaratí.</w:t>
      </w:r>
    </w:p>
    <w:p w14:paraId="287D6CB7" w14:textId="77777777" w:rsidR="00DE7243" w:rsidRDefault="00000000">
      <w:pPr>
        <w:pBdr>
          <w:top w:val="nil"/>
          <w:left w:val="nil"/>
          <w:bottom w:val="nil"/>
          <w:right w:val="nil"/>
          <w:between w:val="nil"/>
        </w:pBdr>
        <w:spacing w:before="280" w:line="360" w:lineRule="auto"/>
        <w:jc w:val="both"/>
        <w:rPr>
          <w:rFonts w:ascii="Century Gothic" w:eastAsia="Century Gothic" w:hAnsi="Century Gothic" w:cs="Century Gothic"/>
          <w:b/>
          <w:bCs/>
          <w:i/>
          <w:iCs/>
          <w:color w:val="000000"/>
          <w:sz w:val="18"/>
          <w:szCs w:val="18"/>
        </w:rPr>
      </w:pPr>
      <w:r>
        <w:rPr>
          <w:rFonts w:ascii="Century Gothic" w:eastAsia="Century Gothic" w:hAnsi="Century Gothic" w:cs="Century Gothic"/>
          <w:sz w:val="22"/>
          <w:szCs w:val="22"/>
        </w:rPr>
        <w:t>Para quienes prefieran la pequeña pantalla, ice ofrece 14 programas de televisión indios, como Pritam and Pedro, Looteri Dulhan y Crime Patrol - 26 Jurm, 26 Cases. Los amantes de la música también podrán ambientar la celebración con una selección de 40 álbumes y listas de reproducción indios, que llevan los sonidos de Diwali a los cielos.</w:t>
      </w:r>
    </w:p>
    <w:sectPr w:rsidR="00DE7243">
      <w:headerReference w:type="default" r:id="rId7"/>
      <w:pgSz w:w="11900" w:h="16840"/>
      <w:pgMar w:top="1417" w:right="1268" w:bottom="734"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DC42C1" w14:textId="77777777" w:rsidR="00FB48BB" w:rsidRDefault="00FB48BB">
      <w:r>
        <w:separator/>
      </w:r>
    </w:p>
  </w:endnote>
  <w:endnote w:type="continuationSeparator" w:id="0">
    <w:p w14:paraId="7639C34C" w14:textId="77777777" w:rsidR="00FB48BB" w:rsidRDefault="00FB4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embedRegular r:id="rId1" w:fontKey="{B31D6A04-A11D-C140-B823-24286F2F76BC}"/>
    <w:embedBold r:id="rId2" w:fontKey="{FC19B7AF-FF53-C040-BC9A-D89EDD4A79AD}"/>
    <w:embedItalic r:id="rId3" w:fontKey="{95FDA976-993F-1B42-B6F7-EBAFDF544DEF}"/>
  </w:font>
  <w:font w:name="Georgia">
    <w:panose1 w:val="02040502050405020303"/>
    <w:charset w:val="00"/>
    <w:family w:val="roman"/>
    <w:pitch w:val="variable"/>
    <w:sig w:usb0="00000287" w:usb1="00000000" w:usb2="00000000" w:usb3="00000000" w:csb0="0000009F" w:csb1="00000000"/>
    <w:embedItalic r:id="rId4" w:fontKey="{39787ECF-2120-1847-933D-B38EEA366E84}"/>
  </w:font>
  <w:font w:name="Calibri">
    <w:panose1 w:val="020F0502020204030204"/>
    <w:charset w:val="00"/>
    <w:family w:val="swiss"/>
    <w:pitch w:val="variable"/>
    <w:sig w:usb0="E0002AFF" w:usb1="C000247B" w:usb2="00000009" w:usb3="00000000" w:csb0="000001FF" w:csb1="00000000"/>
    <w:embedRegular r:id="rId5" w:fontKey="{DD9AB7B4-B04B-C940-8214-3614EEF615BF}"/>
  </w:font>
  <w:font w:name="Cambria">
    <w:panose1 w:val="02040503050406030204"/>
    <w:charset w:val="00"/>
    <w:family w:val="roman"/>
    <w:pitch w:val="variable"/>
    <w:sig w:usb0="E00002FF" w:usb1="400004FF" w:usb2="00000000" w:usb3="00000000" w:csb0="0000019F" w:csb1="00000000"/>
    <w:embedRegular r:id="rId6" w:fontKey="{8CEB5251-D0C1-9B4C-B51F-8D6C8739C85D}"/>
  </w:font>
  <w:font w:name="Century Gothic">
    <w:panose1 w:val="020B0502020202020204"/>
    <w:charset w:val="00"/>
    <w:family w:val="swiss"/>
    <w:pitch w:val="variable"/>
    <w:sig w:usb0="00000287" w:usb1="00000000" w:usb2="00000000" w:usb3="00000000" w:csb0="0000009F" w:csb1="00000000"/>
    <w:embedRegular r:id="rId7" w:fontKey="{DEE7A8D2-CD52-DA40-9F23-46F820736315}"/>
    <w:embedBold r:id="rId8" w:fontKey="{F653B0D8-91EE-E049-9957-CADBF9926F17}"/>
    <w:embedBoldItalic r:id="rId9" w:fontKey="{6F30CD97-2606-5847-94D1-0ABCD68890D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4B0BB8" w14:textId="77777777" w:rsidR="00FB48BB" w:rsidRDefault="00FB48BB">
      <w:r>
        <w:separator/>
      </w:r>
    </w:p>
  </w:footnote>
  <w:footnote w:type="continuationSeparator" w:id="0">
    <w:p w14:paraId="33B75E68" w14:textId="77777777" w:rsidR="00FB48BB" w:rsidRDefault="00FB4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C534B8" w14:textId="77777777" w:rsidR="00DE7243" w:rsidRDefault="00000000">
    <w:pPr>
      <w:pBdr>
        <w:top w:val="nil"/>
        <w:left w:val="nil"/>
        <w:bottom w:val="nil"/>
        <w:right w:val="nil"/>
        <w:between w:val="nil"/>
      </w:pBdr>
      <w:tabs>
        <w:tab w:val="right" w:pos="8478"/>
      </w:tabs>
      <w:spacing w:after="200"/>
      <w:rPr>
        <w:rFonts w:ascii="Cambria" w:eastAsia="Cambria" w:hAnsi="Cambria" w:cs="Cambria"/>
        <w:color w:val="000000"/>
      </w:rPr>
    </w:pPr>
    <w:r>
      <w:rPr>
        <w:noProof/>
      </w:rPr>
      <w:drawing>
        <wp:anchor distT="0" distB="0" distL="0" distR="0" simplePos="0" relativeHeight="251658240" behindDoc="0" locked="0" layoutInCell="1" hidden="0" allowOverlap="1" wp14:anchorId="19598CC0" wp14:editId="1B79639D">
          <wp:simplePos x="0" y="0"/>
          <wp:positionH relativeFrom="column">
            <wp:posOffset>0</wp:posOffset>
          </wp:positionH>
          <wp:positionV relativeFrom="paragraph">
            <wp:posOffset>0</wp:posOffset>
          </wp:positionV>
          <wp:extent cx="2073275" cy="1430655"/>
          <wp:effectExtent l="0" t="0" r="0" b="0"/>
          <wp:wrapSquare wrapText="bothSides" distT="0" distB="0" distL="0" distR="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3275" cy="1430655"/>
                  </a:xfrm>
                  <a:prstGeom prst="rect">
                    <a:avLst/>
                  </a:prstGeom>
                  <a:ln/>
                </pic:spPr>
              </pic:pic>
            </a:graphicData>
          </a:graphic>
        </wp:anchor>
      </w:drawing>
    </w:r>
  </w:p>
  <w:p w14:paraId="558429B8" w14:textId="77777777" w:rsidR="00DE7243" w:rsidRDefault="00DE7243">
    <w:pPr>
      <w:pBdr>
        <w:top w:val="nil"/>
        <w:left w:val="nil"/>
        <w:bottom w:val="nil"/>
        <w:right w:val="nil"/>
        <w:between w:val="nil"/>
      </w:pBdr>
      <w:tabs>
        <w:tab w:val="right" w:pos="8478"/>
      </w:tabs>
      <w:spacing w:after="200"/>
      <w:rPr>
        <w:rFonts w:ascii="Cambria" w:eastAsia="Cambria" w:hAnsi="Cambria" w:cs="Cambria"/>
        <w:color w:val="000000"/>
      </w:rPr>
    </w:pPr>
  </w:p>
  <w:p w14:paraId="4A415E7F" w14:textId="77777777" w:rsidR="00DE7243" w:rsidRDefault="00DE7243">
    <w:pPr>
      <w:pBdr>
        <w:top w:val="nil"/>
        <w:left w:val="nil"/>
        <w:bottom w:val="nil"/>
        <w:right w:val="nil"/>
        <w:between w:val="nil"/>
      </w:pBdr>
      <w:tabs>
        <w:tab w:val="right" w:pos="8478"/>
      </w:tabs>
      <w:spacing w:after="200"/>
      <w:rPr>
        <w:rFonts w:ascii="Cambria" w:eastAsia="Cambria" w:hAnsi="Cambria" w:cs="Cambria"/>
        <w:color w:val="000000"/>
      </w:rPr>
    </w:pPr>
  </w:p>
  <w:p w14:paraId="48D30222" w14:textId="77777777" w:rsidR="00DE7243" w:rsidRDefault="00DE7243">
    <w:pPr>
      <w:pBdr>
        <w:top w:val="nil"/>
        <w:left w:val="nil"/>
        <w:bottom w:val="nil"/>
        <w:right w:val="nil"/>
        <w:between w:val="nil"/>
      </w:pBdr>
      <w:tabs>
        <w:tab w:val="right" w:pos="8478"/>
      </w:tabs>
      <w:spacing w:after="200"/>
      <w:rPr>
        <w:rFonts w:ascii="Cambria" w:eastAsia="Cambria" w:hAnsi="Cambria" w:cs="Cambria"/>
        <w:color w:val="000000"/>
      </w:rPr>
    </w:pPr>
  </w:p>
  <w:p w14:paraId="62059D94" w14:textId="77777777" w:rsidR="00DE7243" w:rsidRDefault="00DE7243">
    <w:pPr>
      <w:pBdr>
        <w:top w:val="nil"/>
        <w:left w:val="nil"/>
        <w:bottom w:val="nil"/>
        <w:right w:val="nil"/>
        <w:between w:val="nil"/>
      </w:pBdr>
      <w:tabs>
        <w:tab w:val="right" w:pos="8478"/>
      </w:tabs>
      <w:spacing w:after="200"/>
      <w:rPr>
        <w:rFonts w:ascii="Cambria" w:eastAsia="Cambria" w:hAnsi="Cambria" w:cs="Cambria"/>
        <w:color w:val="000000"/>
      </w:rPr>
    </w:pPr>
  </w:p>
  <w:p w14:paraId="0C7B1EB2" w14:textId="77777777" w:rsidR="00DE7243" w:rsidRDefault="00DE7243">
    <w:pPr>
      <w:pBdr>
        <w:top w:val="nil"/>
        <w:left w:val="nil"/>
        <w:bottom w:val="nil"/>
        <w:right w:val="nil"/>
        <w:between w:val="nil"/>
      </w:pBdr>
      <w:tabs>
        <w:tab w:val="right" w:pos="8478"/>
      </w:tabs>
      <w:spacing w:after="200"/>
      <w:rPr>
        <w:rFonts w:ascii="Cambria" w:eastAsia="Cambria" w:hAnsi="Cambria" w:cs="Cambria"/>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243"/>
    <w:rsid w:val="004A4698"/>
    <w:rsid w:val="00B91201"/>
    <w:rsid w:val="00DE7243"/>
    <w:rsid w:val="00FB48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C8EBFE6"/>
  <w15:docId w15:val="{D899861B-EBD5-D04A-A0D3-BDD799B05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Pr>
  </w:style>
  <w:style w:type="paragraph" w:styleId="Prrafodelista">
    <w:name w:val="List Paragraph"/>
    <w:aliases w:val="numbered,Paragraphe de liste1,Bullet List,FooterText"/>
    <w:basedOn w:val="Normal"/>
    <w:link w:val="PrrafodelistaCar"/>
    <w:uiPriority w:val="34"/>
    <w:qFormat/>
    <w:rsid w:val="004348AD"/>
    <w:pPr>
      <w:ind w:left="720"/>
      <w:contextualSpacing/>
    </w:pPr>
  </w:style>
  <w:style w:type="character" w:styleId="Hipervnculo">
    <w:name w:val="Hyperlink"/>
    <w:basedOn w:val="Fuentedeprrafopredeter"/>
    <w:uiPriority w:val="99"/>
    <w:unhideWhenUsed/>
    <w:rsid w:val="00D15796"/>
    <w:rPr>
      <w:color w:val="0000FF" w:themeColor="hyperlink"/>
      <w:u w:val="single"/>
    </w:rPr>
  </w:style>
  <w:style w:type="character" w:customStyle="1" w:styleId="Mencinsinresolver1">
    <w:name w:val="Mención sin resolver1"/>
    <w:basedOn w:val="Fuentedeprrafopredeter"/>
    <w:uiPriority w:val="99"/>
    <w:semiHidden/>
    <w:unhideWhenUsed/>
    <w:rsid w:val="007E7562"/>
    <w:rPr>
      <w:color w:val="605E5C"/>
      <w:shd w:val="clear" w:color="auto" w:fill="E1DFDD"/>
    </w:rPr>
  </w:style>
  <w:style w:type="character" w:styleId="Hipervnculovisitado">
    <w:name w:val="FollowedHyperlink"/>
    <w:basedOn w:val="Fuentedeprrafopredeter"/>
    <w:uiPriority w:val="99"/>
    <w:semiHidden/>
    <w:unhideWhenUsed/>
    <w:rsid w:val="007E7562"/>
    <w:rPr>
      <w:color w:val="800080" w:themeColor="followedHyperlink"/>
      <w:u w:val="single"/>
    </w:rPr>
  </w:style>
  <w:style w:type="paragraph" w:styleId="Encabezado">
    <w:name w:val="header"/>
    <w:basedOn w:val="Normal"/>
    <w:link w:val="EncabezadoCar"/>
    <w:uiPriority w:val="99"/>
    <w:unhideWhenUsed/>
    <w:rsid w:val="003E7D4F"/>
    <w:pPr>
      <w:tabs>
        <w:tab w:val="center" w:pos="4252"/>
        <w:tab w:val="right" w:pos="8504"/>
      </w:tabs>
    </w:pPr>
  </w:style>
  <w:style w:type="character" w:customStyle="1" w:styleId="EncabezadoCar">
    <w:name w:val="Encabezado Car"/>
    <w:basedOn w:val="Fuentedeprrafopredeter"/>
    <w:link w:val="Encabezado"/>
    <w:uiPriority w:val="99"/>
    <w:rsid w:val="003E7D4F"/>
  </w:style>
  <w:style w:type="paragraph" w:styleId="Piedepgina">
    <w:name w:val="footer"/>
    <w:basedOn w:val="Normal"/>
    <w:link w:val="PiedepginaCar"/>
    <w:uiPriority w:val="99"/>
    <w:unhideWhenUsed/>
    <w:rsid w:val="003E7D4F"/>
    <w:pPr>
      <w:tabs>
        <w:tab w:val="center" w:pos="4252"/>
        <w:tab w:val="right" w:pos="8504"/>
      </w:tabs>
    </w:pPr>
  </w:style>
  <w:style w:type="character" w:customStyle="1" w:styleId="PiedepginaCar">
    <w:name w:val="Pie de página Car"/>
    <w:basedOn w:val="Fuentedeprrafopredeter"/>
    <w:link w:val="Piedepgina"/>
    <w:uiPriority w:val="99"/>
    <w:rsid w:val="003E7D4F"/>
  </w:style>
  <w:style w:type="paragraph" w:styleId="NormalWeb">
    <w:name w:val="Normal (Web)"/>
    <w:basedOn w:val="Normal"/>
    <w:uiPriority w:val="99"/>
    <w:unhideWhenUsed/>
    <w:rsid w:val="001863FF"/>
    <w:pPr>
      <w:spacing w:before="100" w:beforeAutospacing="1" w:after="100" w:afterAutospacing="1"/>
    </w:pPr>
    <w:rPr>
      <w:rFonts w:ascii="Calibri" w:eastAsiaTheme="minorHAnsi" w:hAnsi="Calibri" w:cs="Calibri"/>
      <w:sz w:val="22"/>
      <w:szCs w:val="22"/>
      <w:lang w:val="en-GB"/>
    </w:rPr>
  </w:style>
  <w:style w:type="character" w:styleId="Fuerte">
    <w:name w:val="Strong"/>
    <w:basedOn w:val="Fuentedeprrafopredeter"/>
    <w:uiPriority w:val="22"/>
    <w:qFormat/>
    <w:rsid w:val="009368A3"/>
    <w:rPr>
      <w:b/>
      <w:bCs/>
    </w:rPr>
  </w:style>
  <w:style w:type="character" w:styleId="Mencinsinresolver">
    <w:name w:val="Unresolved Mention"/>
    <w:basedOn w:val="Fuentedeprrafopredeter"/>
    <w:uiPriority w:val="99"/>
    <w:semiHidden/>
    <w:unhideWhenUsed/>
    <w:rsid w:val="005647D6"/>
    <w:rPr>
      <w:color w:val="605E5C"/>
      <w:shd w:val="clear" w:color="auto" w:fill="E1DFDD"/>
    </w:rPr>
  </w:style>
  <w:style w:type="paragraph" w:styleId="Textocomentario">
    <w:name w:val="annotation text"/>
    <w:basedOn w:val="Normal"/>
    <w:link w:val="TextocomentarioCar"/>
    <w:uiPriority w:val="99"/>
    <w:semiHidden/>
    <w:unhideWhenUsed/>
    <w:rsid w:val="005647D6"/>
    <w:pPr>
      <w:spacing w:after="160"/>
    </w:pPr>
    <w:rPr>
      <w:rFonts w:asciiTheme="minorHAnsi" w:eastAsiaTheme="minorEastAsia" w:hAnsiTheme="minorHAnsi" w:cstheme="minorBidi"/>
      <w:sz w:val="20"/>
      <w:szCs w:val="20"/>
      <w:lang w:val="en-GB" w:eastAsia="zh-CN"/>
    </w:rPr>
  </w:style>
  <w:style w:type="character" w:customStyle="1" w:styleId="TextocomentarioCar">
    <w:name w:val="Texto comentario Car"/>
    <w:basedOn w:val="Fuentedeprrafopredeter"/>
    <w:link w:val="Textocomentario"/>
    <w:uiPriority w:val="99"/>
    <w:semiHidden/>
    <w:rsid w:val="005647D6"/>
    <w:rPr>
      <w:rFonts w:asciiTheme="minorHAnsi" w:eastAsiaTheme="minorEastAsia" w:hAnsiTheme="minorHAnsi" w:cstheme="minorBidi"/>
      <w:sz w:val="20"/>
      <w:szCs w:val="20"/>
      <w:lang w:val="en-GB" w:eastAsia="zh-CN"/>
    </w:rPr>
  </w:style>
  <w:style w:type="character" w:customStyle="1" w:styleId="PrrafodelistaCar">
    <w:name w:val="Párrafo de lista Car"/>
    <w:aliases w:val="numbered Car,Paragraphe de liste1 Car,Bullet List Car,FooterText Car"/>
    <w:basedOn w:val="Fuentedeprrafopredeter"/>
    <w:link w:val="Prrafodelista"/>
    <w:uiPriority w:val="34"/>
    <w:locked/>
    <w:rsid w:val="005647D6"/>
  </w:style>
  <w:style w:type="character" w:customStyle="1" w:styleId="wordsection1Char">
    <w:name w:val="wordsection1 Char"/>
    <w:basedOn w:val="Fuentedeprrafopredeter"/>
    <w:link w:val="wordsection1"/>
    <w:uiPriority w:val="99"/>
    <w:locked/>
    <w:rsid w:val="005647D6"/>
    <w:rPr>
      <w:rFonts w:ascii="Calibri" w:hAnsi="Calibri" w:cs="Calibri"/>
    </w:rPr>
  </w:style>
  <w:style w:type="paragraph" w:customStyle="1" w:styleId="wordsection1">
    <w:name w:val="wordsection1"/>
    <w:basedOn w:val="Normal"/>
    <w:link w:val="wordsection1Char"/>
    <w:uiPriority w:val="99"/>
    <w:rsid w:val="005647D6"/>
    <w:rPr>
      <w:rFonts w:ascii="Calibri" w:hAnsi="Calibri" w:cs="Calibri"/>
    </w:rPr>
  </w:style>
  <w:style w:type="character" w:styleId="Refdecomentario">
    <w:name w:val="annotation reference"/>
    <w:basedOn w:val="Fuentedeprrafopredeter"/>
    <w:uiPriority w:val="99"/>
    <w:semiHidden/>
    <w:unhideWhenUsed/>
    <w:rsid w:val="005647D6"/>
    <w:rPr>
      <w:sz w:val="16"/>
      <w:szCs w:val="16"/>
    </w:rPr>
  </w:style>
  <w:style w:type="character" w:customStyle="1" w:styleId="normaltextrun">
    <w:name w:val="normaltextrun"/>
    <w:basedOn w:val="Fuentedeprrafopredeter"/>
    <w:rsid w:val="005647D6"/>
  </w:style>
  <w:style w:type="table" w:customStyle="1" w:styleId="a0">
    <w:basedOn w:val="TableNormal1"/>
    <w:tblPr>
      <w:tblStyleRowBandSize w:val="1"/>
      <w:tblStyleColBandSize w:val="1"/>
    </w:tblPr>
  </w:style>
  <w:style w:type="character" w:styleId="nfasis">
    <w:name w:val="Emphasis"/>
    <w:basedOn w:val="Fuentedeprrafopredeter"/>
    <w:uiPriority w:val="20"/>
    <w:qFormat/>
    <w:rsid w:val="000D6301"/>
    <w:rPr>
      <w:i/>
      <w:iCs/>
    </w:rPr>
  </w:style>
  <w:style w:type="paragraph" w:styleId="Tabladeilustracion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ppCn8/I6fSP7hmC+sutrv3isow==">CgMxLjA4AHIhMWQ3bEc1bFJHZzdVc1duR2hlLUJKVkhBTWFkeFFQNk53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2989</Characters>
  <Application>Microsoft Office Word</Application>
  <DocSecurity>0</DocSecurity>
  <Lines>51</Lines>
  <Paragraphs>16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3543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2026-11-04T12:48:00Z</dcterms:created>
  <dcterms:modified xsi:type="dcterms:W3CDTF">2026-11-04T16:27:00Z</dcterms:modified>
  <cp:category/>
</cp:coreProperties>
</file>